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0" w:type="dxa"/>
        <w:tblCellMar>
          <w:left w:w="0" w:type="dxa"/>
          <w:right w:w="0" w:type="dxa"/>
        </w:tblCellMar>
        <w:tblLook w:val="04A0" w:firstRow="1" w:lastRow="0" w:firstColumn="1" w:lastColumn="0" w:noHBand="0" w:noVBand="1"/>
      </w:tblPr>
      <w:tblGrid>
        <w:gridCol w:w="10466"/>
      </w:tblGrid>
      <w:tr w:rsidR="00473BBB" w:rsidRPr="00473BBB" w:rsidTr="00473BBB">
        <w:trPr>
          <w:tblCellSpacing w:w="0" w:type="dxa"/>
          <w:hidden/>
        </w:trPr>
        <w:tc>
          <w:tcPr>
            <w:tcW w:w="0" w:type="auto"/>
            <w:hideMark/>
          </w:tcPr>
          <w:p w:rsidR="00473BBB" w:rsidRPr="00473BBB" w:rsidRDefault="00473BBB" w:rsidP="00473BBB">
            <w:pPr>
              <w:widowControl/>
              <w:pBdr>
                <w:bottom w:val="single" w:sz="6" w:space="1" w:color="auto"/>
              </w:pBdr>
              <w:jc w:val="center"/>
              <w:rPr>
                <w:rFonts w:ascii="Arial" w:eastAsia="新細明體" w:hAnsi="Arial" w:cs="Arial" w:hint="eastAsia"/>
                <w:vanish/>
                <w:kern w:val="0"/>
                <w:sz w:val="16"/>
                <w:szCs w:val="16"/>
              </w:rPr>
            </w:pPr>
            <w:r w:rsidRPr="00473BBB">
              <w:rPr>
                <w:rFonts w:ascii="Arial" w:eastAsia="新細明體" w:hAnsi="Arial" w:cs="Arial" w:hint="eastAsia"/>
                <w:vanish/>
                <w:kern w:val="0"/>
                <w:sz w:val="16"/>
                <w:szCs w:val="16"/>
              </w:rPr>
              <w:t>表單的頂端</w:t>
            </w:r>
          </w:p>
          <w:tbl>
            <w:tblPr>
              <w:tblW w:w="14250" w:type="dxa"/>
              <w:tblCellSpacing w:w="6" w:type="dxa"/>
              <w:tblBorders>
                <w:top w:val="single" w:sz="6" w:space="0" w:color="1BCDD1"/>
                <w:left w:val="single" w:sz="6" w:space="0" w:color="1BCDD1"/>
                <w:bottom w:val="single" w:sz="6" w:space="0" w:color="1BCDD1"/>
                <w:right w:val="single" w:sz="6" w:space="0" w:color="1BCDD1"/>
              </w:tblBorders>
              <w:shd w:val="clear" w:color="auto" w:fill="DDDDDD"/>
              <w:tblCellMar>
                <w:top w:w="36" w:type="dxa"/>
                <w:left w:w="36" w:type="dxa"/>
                <w:bottom w:w="36" w:type="dxa"/>
                <w:right w:w="36" w:type="dxa"/>
              </w:tblCellMar>
              <w:tblLook w:val="04A0" w:firstRow="1" w:lastRow="0" w:firstColumn="1" w:lastColumn="0" w:noHBand="0" w:noVBand="1"/>
            </w:tblPr>
            <w:tblGrid>
              <w:gridCol w:w="12984"/>
              <w:gridCol w:w="395"/>
              <w:gridCol w:w="395"/>
              <w:gridCol w:w="476"/>
            </w:tblGrid>
            <w:tr w:rsidR="00473BBB" w:rsidRPr="00473BBB">
              <w:trPr>
                <w:tblCellSpacing w:w="6" w:type="dxa"/>
              </w:trPr>
              <w:tc>
                <w:tcPr>
                  <w:tcW w:w="0" w:type="auto"/>
                  <w:gridSpan w:val="4"/>
                  <w:shd w:val="clear" w:color="auto" w:fill="0DB9BB"/>
                  <w:vAlign w:val="center"/>
                  <w:hideMark/>
                </w:tcPr>
                <w:p w:rsidR="00473BBB" w:rsidRPr="00473BBB" w:rsidRDefault="00473BBB" w:rsidP="00473BBB">
                  <w:pPr>
                    <w:widowControl/>
                    <w:spacing w:line="450" w:lineRule="atLeast"/>
                    <w:rPr>
                      <w:rFonts w:ascii="微軟正黑體" w:eastAsia="微軟正黑體" w:hAnsi="微軟正黑體" w:cs="新細明體"/>
                      <w:color w:val="FFFFFF"/>
                      <w:kern w:val="0"/>
                      <w:sz w:val="20"/>
                      <w:szCs w:val="20"/>
                    </w:rPr>
                  </w:pPr>
                  <w:r w:rsidRPr="00473BBB">
                    <w:rPr>
                      <w:rFonts w:ascii="微軟正黑體" w:eastAsia="微軟正黑體" w:hAnsi="微軟正黑體" w:cs="新細明體" w:hint="eastAsia"/>
                      <w:color w:val="FFFFFF"/>
                      <w:kern w:val="0"/>
                      <w:sz w:val="20"/>
                      <w:szCs w:val="20"/>
                    </w:rPr>
                    <w:t>總分 = 100</w:t>
                  </w:r>
                  <w:r w:rsidRPr="00473BBB">
                    <w:rPr>
                      <w:rFonts w:ascii="微軟正黑體" w:eastAsia="微軟正黑體" w:hAnsi="微軟正黑體" w:cs="新細明體" w:hint="eastAsia"/>
                      <w:color w:val="FFFFFF"/>
                      <w:kern w:val="0"/>
                      <w:sz w:val="20"/>
                      <w:szCs w:val="20"/>
                    </w:rPr>
                    <w:br/>
                    <w:t>及格標準 =75</w:t>
                  </w:r>
                  <w:r w:rsidRPr="00473BBB">
                    <w:rPr>
                      <w:rFonts w:ascii="微軟正黑體" w:eastAsia="微軟正黑體" w:hAnsi="微軟正黑體" w:cs="新細明體" w:hint="eastAsia"/>
                      <w:color w:val="FFFFFF"/>
                      <w:kern w:val="0"/>
                      <w:sz w:val="20"/>
                      <w:szCs w:val="20"/>
                    </w:rPr>
                    <w:br/>
                    <w:t>評量結果 =</w:t>
                  </w:r>
                  <w:r w:rsidRPr="00473BBB">
                    <w:rPr>
                      <w:rFonts w:ascii="微軟正黑體" w:eastAsia="微軟正黑體" w:hAnsi="微軟正黑體" w:cs="新細明體" w:hint="eastAsia"/>
                      <w:color w:val="008000"/>
                      <w:kern w:val="0"/>
                      <w:sz w:val="20"/>
                      <w:szCs w:val="20"/>
                    </w:rPr>
                    <w:t>及格</w:t>
                  </w:r>
                  <w:r w:rsidRPr="00473BBB">
                    <w:rPr>
                      <w:rFonts w:ascii="微軟正黑體" w:eastAsia="微軟正黑體" w:hAnsi="微軟正黑體" w:cs="新細明體" w:hint="eastAsia"/>
                      <w:color w:val="FFFFFF"/>
                      <w:kern w:val="0"/>
                      <w:sz w:val="20"/>
                      <w:szCs w:val="20"/>
                    </w:rPr>
                    <w:br/>
                    <w:t>此為電腦閱卷之自動計分。實際得分以教師公佈之正式分數為</w:t>
                  </w:r>
                  <w:proofErr w:type="gramStart"/>
                  <w:r w:rsidRPr="00473BBB">
                    <w:rPr>
                      <w:rFonts w:ascii="微軟正黑體" w:eastAsia="微軟正黑體" w:hAnsi="微軟正黑體" w:cs="新細明體" w:hint="eastAsia"/>
                      <w:color w:val="FFFFFF"/>
                      <w:kern w:val="0"/>
                      <w:sz w:val="20"/>
                      <w:szCs w:val="20"/>
                    </w:rPr>
                    <w:t>準</w:t>
                  </w:r>
                  <w:proofErr w:type="gramEnd"/>
                  <w:r w:rsidRPr="00473BBB">
                    <w:rPr>
                      <w:rFonts w:ascii="微軟正黑體" w:eastAsia="微軟正黑體" w:hAnsi="微軟正黑體" w:cs="新細明體" w:hint="eastAsia"/>
                      <w:color w:val="FFFFFF"/>
                      <w:kern w:val="0"/>
                      <w:sz w:val="20"/>
                      <w:szCs w:val="20"/>
                    </w:rPr>
                    <w:t>。公布答案(不再進行測驗)</w:t>
                  </w:r>
                </w:p>
              </w:tc>
            </w:tr>
            <w:tr w:rsidR="00473BBB" w:rsidRPr="00473BBB">
              <w:trPr>
                <w:tblCellSpacing w:w="6" w:type="dxa"/>
              </w:trPr>
              <w:tc>
                <w:tcPr>
                  <w:tcW w:w="0" w:type="auto"/>
                  <w:shd w:val="clear" w:color="auto" w:fill="FFFFFF"/>
                  <w:vAlign w:val="center"/>
                  <w:hideMark/>
                </w:tcPr>
                <w:p w:rsidR="00473BBB" w:rsidRPr="00473BBB" w:rsidRDefault="00473BBB" w:rsidP="00473BBB">
                  <w:pPr>
                    <w:widowControl/>
                    <w:spacing w:line="360" w:lineRule="atLeast"/>
                    <w:rPr>
                      <w:rFonts w:ascii="微軟正黑體" w:eastAsia="微軟正黑體" w:hAnsi="微軟正黑體" w:cs="新細明體" w:hint="eastAsia"/>
                      <w:color w:val="000000"/>
                      <w:kern w:val="0"/>
                      <w:sz w:val="20"/>
                      <w:szCs w:val="20"/>
                    </w:rPr>
                  </w:pPr>
                  <w:r w:rsidRPr="00473BBB">
                    <w:rPr>
                      <w:rFonts w:ascii="微軟正黑體" w:eastAsia="微軟正黑體" w:hAnsi="微軟正黑體" w:cs="新細明體" w:hint="eastAsia"/>
                      <w:color w:val="000000"/>
                      <w:kern w:val="0"/>
                      <w:sz w:val="20"/>
                      <w:szCs w:val="20"/>
                    </w:rPr>
                    <w:t xml:space="preserve">查看第   </w:t>
                  </w:r>
                  <w:r w:rsidRPr="00473BBB">
                    <w:rPr>
                      <w:rFonts w:ascii="微軟正黑體" w:eastAsia="微軟正黑體" w:hAnsi="微軟正黑體" w:cs="新細明體"/>
                      <w:color w:val="000000"/>
                      <w:kern w:val="0"/>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53.4pt;height:18pt" o:ole="">
                        <v:imagedata r:id="rId5" o:title=""/>
                      </v:shape>
                      <w:control r:id="rId6" w:name="DefaultOcxName" w:shapeid="_x0000_i1090"/>
                    </w:object>
                  </w:r>
                  <w:r w:rsidRPr="00473BBB">
                    <w:rPr>
                      <w:rFonts w:ascii="微軟正黑體" w:eastAsia="微軟正黑體" w:hAnsi="微軟正黑體" w:cs="新細明體" w:hint="eastAsia"/>
                      <w:color w:val="000000"/>
                      <w:kern w:val="0"/>
                      <w:sz w:val="20"/>
                      <w:szCs w:val="20"/>
                    </w:rPr>
                    <w:t> 次結果</w:t>
                  </w:r>
                </w:p>
              </w:tc>
              <w:tc>
                <w:tcPr>
                  <w:tcW w:w="0" w:type="auto"/>
                  <w:shd w:val="clear" w:color="auto" w:fill="FFFFFF"/>
                  <w:vAlign w:val="center"/>
                  <w:hideMark/>
                </w:tcPr>
                <w:p w:rsidR="00473BBB" w:rsidRPr="00473BBB" w:rsidRDefault="00473BBB" w:rsidP="00473BBB">
                  <w:pPr>
                    <w:widowControl/>
                    <w:rPr>
                      <w:rFonts w:ascii="Times New Roman" w:eastAsia="Times New Roman" w:hAnsi="Times New Roman" w:cs="Times New Roman"/>
                      <w:kern w:val="0"/>
                      <w:sz w:val="20"/>
                      <w:szCs w:val="20"/>
                    </w:rPr>
                  </w:pPr>
                </w:p>
              </w:tc>
              <w:tc>
                <w:tcPr>
                  <w:tcW w:w="0" w:type="auto"/>
                  <w:shd w:val="clear" w:color="auto" w:fill="FFFFFF"/>
                  <w:vAlign w:val="center"/>
                  <w:hideMark/>
                </w:tcPr>
                <w:p w:rsidR="00473BBB" w:rsidRPr="00473BBB" w:rsidRDefault="00473BBB" w:rsidP="00473BBB">
                  <w:pPr>
                    <w:widowControl/>
                    <w:rPr>
                      <w:rFonts w:ascii="Times New Roman" w:eastAsia="Times New Roman" w:hAnsi="Times New Roman" w:cs="Times New Roman"/>
                      <w:kern w:val="0"/>
                      <w:sz w:val="20"/>
                      <w:szCs w:val="20"/>
                    </w:rPr>
                  </w:pPr>
                </w:p>
              </w:tc>
              <w:tc>
                <w:tcPr>
                  <w:tcW w:w="0" w:type="auto"/>
                  <w:shd w:val="clear" w:color="auto" w:fill="FFFFFF"/>
                  <w:vAlign w:val="center"/>
                  <w:hideMark/>
                </w:tcPr>
                <w:p w:rsidR="00473BBB" w:rsidRPr="00473BBB" w:rsidRDefault="00473BBB" w:rsidP="00473BBB">
                  <w:pPr>
                    <w:widowControl/>
                    <w:rPr>
                      <w:rFonts w:ascii="Times New Roman" w:eastAsia="Times New Roman" w:hAnsi="Times New Roman" w:cs="Times New Roman"/>
                      <w:kern w:val="0"/>
                      <w:sz w:val="20"/>
                      <w:szCs w:val="20"/>
                    </w:rPr>
                  </w:pPr>
                </w:p>
              </w:tc>
            </w:tr>
          </w:tbl>
          <w:p w:rsidR="00473BBB" w:rsidRPr="00473BBB" w:rsidRDefault="00473BBB" w:rsidP="00473BBB">
            <w:pPr>
              <w:widowControl/>
              <w:pBdr>
                <w:top w:val="single" w:sz="6" w:space="1" w:color="auto"/>
              </w:pBdr>
              <w:jc w:val="center"/>
              <w:rPr>
                <w:rFonts w:ascii="Arial" w:eastAsia="新細明體" w:hAnsi="Arial" w:cs="Arial" w:hint="eastAsia"/>
                <w:vanish/>
                <w:kern w:val="0"/>
                <w:sz w:val="16"/>
                <w:szCs w:val="16"/>
              </w:rPr>
            </w:pPr>
            <w:r w:rsidRPr="00473BBB">
              <w:rPr>
                <w:rFonts w:ascii="Arial" w:eastAsia="新細明體" w:hAnsi="Arial" w:cs="Arial" w:hint="eastAsia"/>
                <w:vanish/>
                <w:kern w:val="0"/>
                <w:sz w:val="16"/>
                <w:szCs w:val="16"/>
              </w:rPr>
              <w:t>表單的底部</w:t>
            </w:r>
          </w:p>
          <w:p w:rsidR="00473BBB" w:rsidRPr="00473BBB" w:rsidRDefault="00473BBB" w:rsidP="00473BBB">
            <w:pPr>
              <w:widowControl/>
              <w:rPr>
                <w:rFonts w:ascii="Times New Roman" w:eastAsia="新細明體" w:hAnsi="Times New Roman" w:cs="Times New Roman" w:hint="eastAsia"/>
                <w:kern w:val="0"/>
                <w:szCs w:val="24"/>
              </w:rPr>
            </w:pPr>
          </w:p>
        </w:tc>
      </w:tr>
    </w:tbl>
    <w:p w:rsidR="00473BBB" w:rsidRPr="00473BBB" w:rsidRDefault="00473BBB" w:rsidP="00473BBB">
      <w:pPr>
        <w:widowControl/>
        <w:rPr>
          <w:rFonts w:ascii="新細明體" w:eastAsia="新細明體" w:hAnsi="新細明體" w:cs="新細明體"/>
          <w:vanish/>
          <w:kern w:val="0"/>
          <w:szCs w:val="24"/>
        </w:rPr>
      </w:pPr>
    </w:p>
    <w:tbl>
      <w:tblPr>
        <w:tblW w:w="14250" w:type="dxa"/>
        <w:tblCellSpacing w:w="0" w:type="dxa"/>
        <w:tblCellMar>
          <w:left w:w="0" w:type="dxa"/>
          <w:right w:w="0" w:type="dxa"/>
        </w:tblCellMar>
        <w:tblLook w:val="04A0" w:firstRow="1" w:lastRow="0" w:firstColumn="1" w:lastColumn="0" w:noHBand="0" w:noVBand="1"/>
      </w:tblPr>
      <w:tblGrid>
        <w:gridCol w:w="14266"/>
      </w:tblGrid>
      <w:tr w:rsidR="00473BBB" w:rsidRPr="00473BBB" w:rsidTr="00473BBB">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372"/>
              <w:gridCol w:w="840"/>
              <w:gridCol w:w="420"/>
              <w:gridCol w:w="12634"/>
            </w:tblGrid>
            <w:tr w:rsidR="00473BBB" w:rsidRPr="00473BBB">
              <w:trPr>
                <w:tblCellSpacing w:w="0" w:type="dxa"/>
              </w:trPr>
              <w:tc>
                <w:tcPr>
                  <w:tcW w:w="0" w:type="auto"/>
                  <w:vAlign w:val="center"/>
                  <w:hideMark/>
                </w:tcPr>
                <w:p w:rsidR="00473BBB" w:rsidRPr="00473BBB" w:rsidRDefault="00473BBB" w:rsidP="00473BBB">
                  <w:pPr>
                    <w:widowControl/>
                    <w:rPr>
                      <w:rFonts w:ascii="新細明體" w:eastAsia="新細明體" w:hAnsi="新細明體" w:cs="新細明體"/>
                      <w:kern w:val="0"/>
                      <w:szCs w:val="24"/>
                    </w:rPr>
                  </w:pPr>
                  <w:r w:rsidRPr="00473BBB">
                    <w:rPr>
                      <w:rFonts w:ascii="新細明體" w:eastAsia="新細明體" w:hAnsi="新細明體" w:cs="新細明體"/>
                      <w:noProof/>
                      <w:kern w:val="0"/>
                      <w:szCs w:val="24"/>
                    </w:rPr>
                    <w:drawing>
                      <wp:inline distT="0" distB="0" distL="0" distR="0" wp14:anchorId="46E16A86" wp14:editId="2F964BA2">
                        <wp:extent cx="236220" cy="281940"/>
                        <wp:effectExtent l="0" t="0" r="0" b="3810"/>
                        <wp:docPr id="1" name="ImgL2" descr="https://moj.elearn.hrd.gov.tw/base/10048/theme/learn/title_on_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L2" descr="https://moj.elearn.hrd.gov.tw/base/10048/theme/learn/title_on_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6220" cy="281940"/>
                                </a:xfrm>
                                <a:prstGeom prst="rect">
                                  <a:avLst/>
                                </a:prstGeom>
                                <a:noFill/>
                                <a:ln>
                                  <a:noFill/>
                                </a:ln>
                              </pic:spPr>
                            </pic:pic>
                          </a:graphicData>
                        </a:graphic>
                      </wp:inline>
                    </w:drawing>
                  </w:r>
                </w:p>
              </w:tc>
              <w:tc>
                <w:tcPr>
                  <w:tcW w:w="0" w:type="auto"/>
                  <w:noWrap/>
                  <w:tcMar>
                    <w:top w:w="0" w:type="dxa"/>
                    <w:left w:w="0" w:type="dxa"/>
                    <w:bottom w:w="60" w:type="dxa"/>
                    <w:right w:w="0" w:type="dxa"/>
                  </w:tcMar>
                  <w:vAlign w:val="bottom"/>
                  <w:hideMark/>
                </w:tcPr>
                <w:p w:rsidR="00473BBB" w:rsidRPr="00473BBB" w:rsidRDefault="00473BBB" w:rsidP="00473BBB">
                  <w:pPr>
                    <w:widowControl/>
                    <w:spacing w:line="240" w:lineRule="atLeast"/>
                    <w:jc w:val="center"/>
                    <w:rPr>
                      <w:rFonts w:ascii="微軟正黑體" w:eastAsia="微軟正黑體" w:hAnsi="微軟正黑體" w:cs="新細明體"/>
                      <w:b/>
                      <w:bCs/>
                      <w:color w:val="FFFFFF"/>
                      <w:kern w:val="0"/>
                      <w:sz w:val="21"/>
                      <w:szCs w:val="21"/>
                    </w:rPr>
                  </w:pPr>
                  <w:r w:rsidRPr="00473BBB">
                    <w:rPr>
                      <w:rFonts w:ascii="微軟正黑體" w:eastAsia="微軟正黑體" w:hAnsi="微軟正黑體" w:cs="新細明體" w:hint="eastAsia"/>
                      <w:b/>
                      <w:bCs/>
                      <w:color w:val="FFFFFF"/>
                      <w:kern w:val="0"/>
                      <w:sz w:val="21"/>
                      <w:szCs w:val="21"/>
                    </w:rPr>
                    <w:t>試卷內容</w:t>
                  </w:r>
                </w:p>
              </w:tc>
              <w:tc>
                <w:tcPr>
                  <w:tcW w:w="0" w:type="auto"/>
                  <w:vAlign w:val="center"/>
                  <w:hideMark/>
                </w:tcPr>
                <w:p w:rsidR="00473BBB" w:rsidRPr="00473BBB" w:rsidRDefault="00473BBB" w:rsidP="00473BBB">
                  <w:pPr>
                    <w:widowControl/>
                    <w:rPr>
                      <w:rFonts w:ascii="新細明體" w:eastAsia="新細明體" w:hAnsi="新細明體" w:cs="新細明體" w:hint="eastAsia"/>
                      <w:kern w:val="0"/>
                      <w:szCs w:val="24"/>
                    </w:rPr>
                  </w:pPr>
                  <w:r w:rsidRPr="00473BBB">
                    <w:rPr>
                      <w:rFonts w:ascii="新細明體" w:eastAsia="新細明體" w:hAnsi="新細明體" w:cs="新細明體"/>
                      <w:noProof/>
                      <w:kern w:val="0"/>
                      <w:szCs w:val="24"/>
                    </w:rPr>
                    <w:drawing>
                      <wp:inline distT="0" distB="0" distL="0" distR="0" wp14:anchorId="50C06966" wp14:editId="6A1DE29F">
                        <wp:extent cx="266700" cy="281940"/>
                        <wp:effectExtent l="0" t="0" r="0" b="3810"/>
                        <wp:docPr id="2" name="ImgR2" descr="https://moj.elearn.hrd.gov.tw/base/10048/theme/learn/title_on_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R2" descr="https://moj.elearn.hrd.gov.tw/base/10048/theme/learn/title_on_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 cy="281940"/>
                                </a:xfrm>
                                <a:prstGeom prst="rect">
                                  <a:avLst/>
                                </a:prstGeom>
                                <a:noFill/>
                                <a:ln>
                                  <a:noFill/>
                                </a:ln>
                              </pic:spPr>
                            </pic:pic>
                          </a:graphicData>
                        </a:graphic>
                      </wp:inline>
                    </w:drawing>
                  </w:r>
                </w:p>
              </w:tc>
              <w:tc>
                <w:tcPr>
                  <w:tcW w:w="5000" w:type="pct"/>
                  <w:vAlign w:val="center"/>
                  <w:hideMark/>
                </w:tcPr>
                <w:p w:rsidR="00473BBB" w:rsidRPr="00473BBB" w:rsidRDefault="00473BBB" w:rsidP="00473BBB">
                  <w:pPr>
                    <w:widowControl/>
                    <w:rPr>
                      <w:rFonts w:ascii="新細明體" w:eastAsia="新細明體" w:hAnsi="新細明體" w:cs="新細明體"/>
                      <w:kern w:val="0"/>
                      <w:szCs w:val="24"/>
                    </w:rPr>
                  </w:pPr>
                  <w:r w:rsidRPr="00473BBB">
                    <w:rPr>
                      <w:rFonts w:ascii="新細明體" w:eastAsia="新細明體" w:hAnsi="新細明體" w:cs="新細明體"/>
                      <w:kern w:val="0"/>
                      <w:szCs w:val="24"/>
                    </w:rPr>
                    <w:t> </w:t>
                  </w:r>
                </w:p>
              </w:tc>
            </w:tr>
          </w:tbl>
          <w:p w:rsidR="00473BBB" w:rsidRPr="00473BBB" w:rsidRDefault="00473BBB" w:rsidP="00473BBB">
            <w:pPr>
              <w:widowControl/>
              <w:rPr>
                <w:rFonts w:ascii="Times New Roman" w:eastAsia="新細明體" w:hAnsi="Times New Roman" w:cs="Times New Roman"/>
                <w:kern w:val="0"/>
                <w:szCs w:val="24"/>
              </w:rPr>
            </w:pPr>
          </w:p>
        </w:tc>
      </w:tr>
      <w:tr w:rsidR="00473BBB" w:rsidRPr="00473BBB" w:rsidTr="00473BBB">
        <w:trPr>
          <w:tblCellSpacing w:w="0" w:type="dxa"/>
          <w:hidden/>
        </w:trPr>
        <w:tc>
          <w:tcPr>
            <w:tcW w:w="0" w:type="auto"/>
            <w:hideMark/>
          </w:tcPr>
          <w:p w:rsidR="00473BBB" w:rsidRPr="00473BBB" w:rsidRDefault="00473BBB" w:rsidP="00473BBB">
            <w:pPr>
              <w:widowControl/>
              <w:pBdr>
                <w:bottom w:val="single" w:sz="6" w:space="1" w:color="auto"/>
              </w:pBdr>
              <w:jc w:val="center"/>
              <w:rPr>
                <w:rFonts w:ascii="Arial" w:eastAsia="新細明體" w:hAnsi="Arial" w:cs="Arial" w:hint="eastAsia"/>
                <w:vanish/>
                <w:kern w:val="0"/>
                <w:sz w:val="16"/>
                <w:szCs w:val="16"/>
              </w:rPr>
            </w:pPr>
            <w:r w:rsidRPr="00473BBB">
              <w:rPr>
                <w:rFonts w:ascii="Arial" w:eastAsia="新細明體" w:hAnsi="Arial" w:cs="Arial" w:hint="eastAsia"/>
                <w:vanish/>
                <w:kern w:val="0"/>
                <w:sz w:val="16"/>
                <w:szCs w:val="16"/>
              </w:rPr>
              <w:t>表單的頂端</w:t>
            </w:r>
          </w:p>
          <w:tbl>
            <w:tblPr>
              <w:tblW w:w="14250" w:type="dxa"/>
              <w:tblCellSpacing w:w="6" w:type="dxa"/>
              <w:tblBorders>
                <w:top w:val="single" w:sz="6" w:space="0" w:color="1BCDD1"/>
                <w:left w:val="single" w:sz="6" w:space="0" w:color="1BCDD1"/>
                <w:bottom w:val="single" w:sz="6" w:space="0" w:color="1BCDD1"/>
                <w:right w:val="single" w:sz="6" w:space="0" w:color="1BCDD1"/>
              </w:tblBorders>
              <w:shd w:val="clear" w:color="auto" w:fill="DDDDDD"/>
              <w:tblCellMar>
                <w:top w:w="36" w:type="dxa"/>
                <w:left w:w="36" w:type="dxa"/>
                <w:bottom w:w="36" w:type="dxa"/>
                <w:right w:w="36" w:type="dxa"/>
              </w:tblCellMar>
              <w:tblLook w:val="04A0" w:firstRow="1" w:lastRow="0" w:firstColumn="1" w:lastColumn="0" w:noHBand="0" w:noVBand="1"/>
            </w:tblPr>
            <w:tblGrid>
              <w:gridCol w:w="1531"/>
              <w:gridCol w:w="114"/>
              <w:gridCol w:w="12494"/>
              <w:gridCol w:w="111"/>
            </w:tblGrid>
            <w:tr w:rsidR="00473BBB" w:rsidRPr="00473BBB">
              <w:trPr>
                <w:tblCellSpacing w:w="6" w:type="dxa"/>
              </w:trPr>
              <w:tc>
                <w:tcPr>
                  <w:tcW w:w="0" w:type="auto"/>
                  <w:gridSpan w:val="4"/>
                  <w:shd w:val="clear" w:color="auto" w:fill="0DB9BB"/>
                  <w:vAlign w:val="center"/>
                  <w:hideMark/>
                </w:tcPr>
                <w:p w:rsidR="00473BBB" w:rsidRPr="00473BBB" w:rsidRDefault="00473BBB" w:rsidP="00473BBB">
                  <w:pPr>
                    <w:widowControl/>
                    <w:spacing w:line="450" w:lineRule="atLeast"/>
                    <w:rPr>
                      <w:rFonts w:ascii="微軟正黑體" w:eastAsia="微軟正黑體" w:hAnsi="微軟正黑體" w:cs="新細明體"/>
                      <w:color w:val="FFFFFF"/>
                      <w:kern w:val="0"/>
                      <w:sz w:val="20"/>
                      <w:szCs w:val="20"/>
                    </w:rPr>
                  </w:pPr>
                  <w:r w:rsidRPr="00473BBB">
                    <w:rPr>
                      <w:rFonts w:ascii="微軟正黑體" w:eastAsia="微軟正黑體" w:hAnsi="微軟正黑體" w:cs="新細明體"/>
                      <w:color w:val="FFFFFF"/>
                      <w:kern w:val="0"/>
                      <w:sz w:val="20"/>
                      <w:szCs w:val="20"/>
                    </w:rPr>
                    <w:object w:dxaOrig="1440" w:dyaOrig="1440">
                      <v:shape id="_x0000_i1089" type="#_x0000_t75" style="width:18pt;height:15.6pt" o:ole="">
                        <v:imagedata r:id="rId9" o:title=""/>
                      </v:shape>
                      <w:control r:id="rId10" w:name="DefaultOcxName1" w:shapeid="_x0000_i1089"/>
                    </w:object>
                  </w:r>
                  <w:r w:rsidRPr="00473BBB">
                    <w:rPr>
                      <w:rFonts w:ascii="微軟正黑體" w:eastAsia="微軟正黑體" w:hAnsi="微軟正黑體" w:cs="新細明體" w:hint="eastAsia"/>
                      <w:color w:val="FFFFFF"/>
                      <w:kern w:val="0"/>
                      <w:sz w:val="20"/>
                      <w:szCs w:val="20"/>
                    </w:rPr>
                    <w:t> 學生答案</w:t>
                  </w:r>
                </w:p>
              </w:tc>
            </w:tr>
            <w:tr w:rsidR="00473BBB" w:rsidRPr="00473BBB">
              <w:trPr>
                <w:tblCellSpacing w:w="6" w:type="dxa"/>
              </w:trPr>
              <w:tc>
                <w:tcPr>
                  <w:tcW w:w="0" w:type="auto"/>
                  <w:shd w:val="clear" w:color="auto" w:fill="FFFFFF"/>
                  <w:noWrap/>
                  <w:hideMark/>
                </w:tcPr>
                <w:p w:rsidR="00473BBB" w:rsidRPr="00473BBB" w:rsidRDefault="00473BBB" w:rsidP="00473BBB">
                  <w:pPr>
                    <w:widowControl/>
                    <w:spacing w:line="240" w:lineRule="atLeast"/>
                    <w:rPr>
                      <w:rFonts w:ascii="新細明體" w:eastAsia="新細明體" w:hAnsi="新細明體" w:cs="新細明體" w:hint="eastAsia"/>
                      <w:color w:val="000000"/>
                      <w:spacing w:val="30"/>
                      <w:kern w:val="0"/>
                      <w:sz w:val="18"/>
                      <w:szCs w:val="18"/>
                    </w:rPr>
                  </w:pPr>
                  <w:r w:rsidRPr="00473BBB">
                    <w:rPr>
                      <w:rFonts w:ascii="新細明體" w:eastAsia="新細明體" w:hAnsi="新細明體" w:cs="新細明體"/>
                      <w:b/>
                      <w:bCs/>
                      <w:color w:val="000000"/>
                      <w:spacing w:val="30"/>
                      <w:kern w:val="0"/>
                      <w:sz w:val="18"/>
                      <w:szCs w:val="18"/>
                    </w:rPr>
                    <w:t>配分：[10.00]</w:t>
                  </w:r>
                </w:p>
              </w:tc>
              <w:tc>
                <w:tcPr>
                  <w:tcW w:w="0" w:type="auto"/>
                  <w:shd w:val="clear" w:color="auto" w:fill="FFFFFF"/>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 </w:t>
                  </w:r>
                </w:p>
              </w:tc>
              <w:tc>
                <w:tcPr>
                  <w:tcW w:w="0" w:type="auto"/>
                  <w:shd w:val="clear" w:color="auto" w:fill="FFFFFF"/>
                  <w:vAlign w:val="center"/>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1. 2022年5月5日提出之國家人權行動計畫，針對兒少自殺防治與提升心理健康提出相對應的措施，包括加強宣導1925安心專線、導入校園及社區心理健康資源等等。</w:t>
                  </w:r>
                </w:p>
                <w:p w:rsidR="00473BBB" w:rsidRPr="00473BBB" w:rsidRDefault="00473BBB" w:rsidP="00473BBB">
                  <w:pPr>
                    <w:widowControl/>
                    <w:numPr>
                      <w:ilvl w:val="0"/>
                      <w:numId w:val="1"/>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88" type="#_x0000_t75" style="width:18pt;height:15.6pt" o:ole="">
                        <v:imagedata r:id="rId9" o:title=""/>
                      </v:shape>
                      <w:control r:id="rId11" w:name="DefaultOcxName2" w:shapeid="_x0000_i1088"/>
                    </w:object>
                  </w:r>
                  <w:r w:rsidRPr="00473BBB">
                    <w:rPr>
                      <w:rFonts w:ascii="新細明體" w:eastAsia="新細明體" w:hAnsi="新細明體" w:cs="新細明體"/>
                      <w:noProof/>
                      <w:color w:val="000000"/>
                      <w:spacing w:val="30"/>
                      <w:kern w:val="0"/>
                      <w:sz w:val="18"/>
                      <w:szCs w:val="18"/>
                    </w:rPr>
                    <w:drawing>
                      <wp:inline distT="0" distB="0" distL="0" distR="0" wp14:anchorId="022492F1" wp14:editId="14A08660">
                        <wp:extent cx="236220" cy="236220"/>
                        <wp:effectExtent l="0" t="0" r="0" b="0"/>
                        <wp:docPr id="3" name="圖片 3" descr="https://moj.elearn.hrd.gov.tw/theme/default/teach/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oj.elearn.hrd.gov.tw/theme/default/teach/right.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p w:rsidR="00473BBB" w:rsidRPr="00473BBB" w:rsidRDefault="00473BBB" w:rsidP="00473BBB">
                  <w:pPr>
                    <w:widowControl/>
                    <w:numPr>
                      <w:ilvl w:val="0"/>
                      <w:numId w:val="1"/>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87" type="#_x0000_t75" style="width:18pt;height:15.6pt" o:ole="">
                        <v:imagedata r:id="rId13" o:title=""/>
                      </v:shape>
                      <w:control r:id="rId14" w:name="DefaultOcxName3" w:shapeid="_x0000_i1087"/>
                    </w:object>
                  </w:r>
                  <w:r w:rsidRPr="00473BBB">
                    <w:rPr>
                      <w:rFonts w:ascii="新細明體" w:eastAsia="新細明體" w:hAnsi="新細明體" w:cs="新細明體"/>
                      <w:noProof/>
                      <w:color w:val="000000"/>
                      <w:spacing w:val="30"/>
                      <w:kern w:val="0"/>
                      <w:sz w:val="18"/>
                      <w:szCs w:val="18"/>
                    </w:rPr>
                    <w:drawing>
                      <wp:inline distT="0" distB="0" distL="0" distR="0" wp14:anchorId="555683FA" wp14:editId="00180812">
                        <wp:extent cx="236220" cy="236220"/>
                        <wp:effectExtent l="0" t="0" r="0" b="0"/>
                        <wp:docPr id="4" name="圖片 4" descr="https://moj.elearn.hrd.gov.tw/theme/default/teach/wro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oj.elearn.hrd.gov.tw/theme/default/teach/wrong.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0" w:type="auto"/>
                  <w:shd w:val="clear" w:color="auto" w:fill="FFFFFF"/>
                  <w:vAlign w:val="center"/>
                  <w:hideMark/>
                </w:tcPr>
                <w:p w:rsidR="00473BBB" w:rsidRPr="00473BBB" w:rsidRDefault="00473BBB" w:rsidP="00473BBB">
                  <w:pPr>
                    <w:widowControl/>
                    <w:numPr>
                      <w:ilvl w:val="0"/>
                      <w:numId w:val="1"/>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473BBB" w:rsidRPr="00473BBB">
              <w:trPr>
                <w:tblCellSpacing w:w="6" w:type="dxa"/>
              </w:trPr>
              <w:tc>
                <w:tcPr>
                  <w:tcW w:w="0" w:type="auto"/>
                  <w:shd w:val="clear" w:color="auto" w:fill="ECF1F7"/>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b/>
                      <w:bCs/>
                      <w:color w:val="000000"/>
                      <w:spacing w:val="30"/>
                      <w:kern w:val="0"/>
                      <w:sz w:val="18"/>
                      <w:szCs w:val="18"/>
                    </w:rPr>
                    <w:t>配分：[10.00]</w:t>
                  </w:r>
                </w:p>
              </w:tc>
              <w:tc>
                <w:tcPr>
                  <w:tcW w:w="0" w:type="auto"/>
                  <w:shd w:val="clear" w:color="auto" w:fill="ECF1F7"/>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 </w:t>
                  </w:r>
                </w:p>
              </w:tc>
              <w:tc>
                <w:tcPr>
                  <w:tcW w:w="0" w:type="auto"/>
                  <w:shd w:val="clear" w:color="auto" w:fill="ECF1F7"/>
                  <w:vAlign w:val="center"/>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 xml:space="preserve">2. </w:t>
                  </w:r>
                  <w:proofErr w:type="gramStart"/>
                  <w:r w:rsidRPr="00473BBB">
                    <w:rPr>
                      <w:rFonts w:ascii="新細明體" w:eastAsia="新細明體" w:hAnsi="新細明體" w:cs="新細明體"/>
                      <w:color w:val="000000"/>
                      <w:spacing w:val="30"/>
                      <w:kern w:val="0"/>
                      <w:sz w:val="18"/>
                      <w:szCs w:val="18"/>
                    </w:rPr>
                    <w:t>一</w:t>
                  </w:r>
                  <w:proofErr w:type="gramEnd"/>
                  <w:r w:rsidRPr="00473BBB">
                    <w:rPr>
                      <w:rFonts w:ascii="新細明體" w:eastAsia="新細明體" w:hAnsi="新細明體" w:cs="新細明體"/>
                      <w:color w:val="000000"/>
                      <w:spacing w:val="30"/>
                      <w:kern w:val="0"/>
                      <w:sz w:val="18"/>
                      <w:szCs w:val="18"/>
                    </w:rPr>
                    <w:t>個人的心智和心理健康的發展，與環境互動、人生的每一階段都有非常大的影響，請問下列敘述是否正確？「家庭」是人來到世界上最先接觸的環境，人格如果還沒有到穩定的階段，越負面的經驗會越難消化，通常人格會隨著年紀而越趨成熟。</w:t>
                  </w:r>
                </w:p>
                <w:p w:rsidR="00473BBB" w:rsidRPr="00473BBB" w:rsidRDefault="00473BBB" w:rsidP="00473BBB">
                  <w:pPr>
                    <w:widowControl/>
                    <w:numPr>
                      <w:ilvl w:val="0"/>
                      <w:numId w:val="2"/>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86" type="#_x0000_t75" style="width:18pt;height:15.6pt" o:ole="">
                        <v:imagedata r:id="rId9" o:title=""/>
                      </v:shape>
                      <w:control r:id="rId16" w:name="DefaultOcxName4" w:shapeid="_x0000_i1086"/>
                    </w:object>
                  </w:r>
                  <w:r w:rsidRPr="00473BBB">
                    <w:rPr>
                      <w:rFonts w:ascii="新細明體" w:eastAsia="新細明體" w:hAnsi="新細明體" w:cs="新細明體"/>
                      <w:noProof/>
                      <w:color w:val="000000"/>
                      <w:spacing w:val="30"/>
                      <w:kern w:val="0"/>
                      <w:sz w:val="18"/>
                      <w:szCs w:val="18"/>
                    </w:rPr>
                    <w:drawing>
                      <wp:inline distT="0" distB="0" distL="0" distR="0" wp14:anchorId="13C84F5A" wp14:editId="2F9F8BE0">
                        <wp:extent cx="236220" cy="236220"/>
                        <wp:effectExtent l="0" t="0" r="0" b="0"/>
                        <wp:docPr id="5" name="圖片 5" descr="https://moj.elearn.hrd.gov.tw/theme/default/teach/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oj.elearn.hrd.gov.tw/theme/default/teach/right.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p w:rsidR="00473BBB" w:rsidRPr="00473BBB" w:rsidRDefault="00473BBB" w:rsidP="00473BBB">
                  <w:pPr>
                    <w:widowControl/>
                    <w:numPr>
                      <w:ilvl w:val="0"/>
                      <w:numId w:val="2"/>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85" type="#_x0000_t75" style="width:18pt;height:15.6pt" o:ole="">
                        <v:imagedata r:id="rId13" o:title=""/>
                      </v:shape>
                      <w:control r:id="rId17" w:name="DefaultOcxName5" w:shapeid="_x0000_i1085"/>
                    </w:object>
                  </w:r>
                  <w:r w:rsidRPr="00473BBB">
                    <w:rPr>
                      <w:rFonts w:ascii="新細明體" w:eastAsia="新細明體" w:hAnsi="新細明體" w:cs="新細明體"/>
                      <w:noProof/>
                      <w:color w:val="000000"/>
                      <w:spacing w:val="30"/>
                      <w:kern w:val="0"/>
                      <w:sz w:val="18"/>
                      <w:szCs w:val="18"/>
                    </w:rPr>
                    <w:drawing>
                      <wp:inline distT="0" distB="0" distL="0" distR="0" wp14:anchorId="313BED13" wp14:editId="27ACDCCB">
                        <wp:extent cx="236220" cy="236220"/>
                        <wp:effectExtent l="0" t="0" r="0" b="0"/>
                        <wp:docPr id="6" name="圖片 6" descr="https://moj.elearn.hrd.gov.tw/theme/default/teach/wro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moj.elearn.hrd.gov.tw/theme/default/teach/wrong.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0" w:type="auto"/>
                  <w:shd w:val="clear" w:color="auto" w:fill="ECF1F7"/>
                  <w:vAlign w:val="center"/>
                  <w:hideMark/>
                </w:tcPr>
                <w:p w:rsidR="00473BBB" w:rsidRPr="00473BBB" w:rsidRDefault="00473BBB" w:rsidP="00473BBB">
                  <w:pPr>
                    <w:widowControl/>
                    <w:numPr>
                      <w:ilvl w:val="0"/>
                      <w:numId w:val="2"/>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473BBB" w:rsidRPr="00473BBB">
              <w:trPr>
                <w:tblCellSpacing w:w="6" w:type="dxa"/>
              </w:trPr>
              <w:tc>
                <w:tcPr>
                  <w:tcW w:w="0" w:type="auto"/>
                  <w:shd w:val="clear" w:color="auto" w:fill="FFFFFF"/>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b/>
                      <w:bCs/>
                      <w:color w:val="000000"/>
                      <w:spacing w:val="30"/>
                      <w:kern w:val="0"/>
                      <w:sz w:val="18"/>
                      <w:szCs w:val="18"/>
                    </w:rPr>
                    <w:t>配分：[10.00]</w:t>
                  </w:r>
                </w:p>
              </w:tc>
              <w:tc>
                <w:tcPr>
                  <w:tcW w:w="0" w:type="auto"/>
                  <w:shd w:val="clear" w:color="auto" w:fill="FFFFFF"/>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 </w:t>
                  </w:r>
                </w:p>
              </w:tc>
              <w:tc>
                <w:tcPr>
                  <w:tcW w:w="0" w:type="auto"/>
                  <w:shd w:val="clear" w:color="auto" w:fill="FFFFFF"/>
                  <w:vAlign w:val="center"/>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 xml:space="preserve">3. 解離性身分疾患（Dissociative identity </w:t>
                  </w:r>
                  <w:proofErr w:type="spellStart"/>
                  <w:r w:rsidRPr="00473BBB">
                    <w:rPr>
                      <w:rFonts w:ascii="新細明體" w:eastAsia="新細明體" w:hAnsi="新細明體" w:cs="新細明體"/>
                      <w:color w:val="000000"/>
                      <w:spacing w:val="30"/>
                      <w:kern w:val="0"/>
                      <w:sz w:val="18"/>
                      <w:szCs w:val="18"/>
                    </w:rPr>
                    <w:t>disorder,DID</w:t>
                  </w:r>
                  <w:proofErr w:type="spellEnd"/>
                  <w:r w:rsidRPr="00473BBB">
                    <w:rPr>
                      <w:rFonts w:ascii="新細明體" w:eastAsia="新細明體" w:hAnsi="新細明體" w:cs="新細明體"/>
                      <w:color w:val="000000"/>
                      <w:spacing w:val="30"/>
                      <w:kern w:val="0"/>
                      <w:sz w:val="18"/>
                      <w:szCs w:val="18"/>
                    </w:rPr>
                    <w:t>）又</w:t>
                  </w:r>
                  <w:proofErr w:type="gramStart"/>
                  <w:r w:rsidRPr="00473BBB">
                    <w:rPr>
                      <w:rFonts w:ascii="新細明體" w:eastAsia="新細明體" w:hAnsi="新細明體" w:cs="新細明體"/>
                      <w:color w:val="000000"/>
                      <w:spacing w:val="30"/>
                      <w:kern w:val="0"/>
                      <w:sz w:val="18"/>
                      <w:szCs w:val="18"/>
                    </w:rPr>
                    <w:t>稱思覺</w:t>
                  </w:r>
                  <w:proofErr w:type="gramEnd"/>
                  <w:r w:rsidRPr="00473BBB">
                    <w:rPr>
                      <w:rFonts w:ascii="新細明體" w:eastAsia="新細明體" w:hAnsi="新細明體" w:cs="新細明體"/>
                      <w:color w:val="000000"/>
                      <w:spacing w:val="30"/>
                      <w:kern w:val="0"/>
                      <w:sz w:val="18"/>
                      <w:szCs w:val="18"/>
                    </w:rPr>
                    <w:t>失調症，其屬遺傳性疾病，與重大壓力毫無關聯。</w:t>
                  </w:r>
                </w:p>
                <w:p w:rsidR="00473BBB" w:rsidRPr="00473BBB" w:rsidRDefault="00473BBB" w:rsidP="00473BBB">
                  <w:pPr>
                    <w:widowControl/>
                    <w:numPr>
                      <w:ilvl w:val="0"/>
                      <w:numId w:val="3"/>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84" type="#_x0000_t75" style="width:18pt;height:15.6pt" o:ole="">
                        <v:imagedata r:id="rId13" o:title=""/>
                      </v:shape>
                      <w:control r:id="rId18" w:name="DefaultOcxName6" w:shapeid="_x0000_i1084"/>
                    </w:object>
                  </w:r>
                  <w:r w:rsidRPr="00473BBB">
                    <w:rPr>
                      <w:rFonts w:ascii="新細明體" w:eastAsia="新細明體" w:hAnsi="新細明體" w:cs="新細明體"/>
                      <w:noProof/>
                      <w:color w:val="000000"/>
                      <w:spacing w:val="30"/>
                      <w:kern w:val="0"/>
                      <w:sz w:val="18"/>
                      <w:szCs w:val="18"/>
                    </w:rPr>
                    <w:drawing>
                      <wp:inline distT="0" distB="0" distL="0" distR="0" wp14:anchorId="7949F7FE" wp14:editId="5B17B8AA">
                        <wp:extent cx="236220" cy="236220"/>
                        <wp:effectExtent l="0" t="0" r="0" b="0"/>
                        <wp:docPr id="7" name="圖片 7" descr="https://moj.elearn.hrd.gov.tw/theme/default/teach/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oj.elearn.hrd.gov.tw/theme/default/teach/right.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p w:rsidR="00473BBB" w:rsidRPr="00473BBB" w:rsidRDefault="00473BBB" w:rsidP="00473BBB">
                  <w:pPr>
                    <w:widowControl/>
                    <w:numPr>
                      <w:ilvl w:val="0"/>
                      <w:numId w:val="3"/>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83" type="#_x0000_t75" style="width:18pt;height:15.6pt" o:ole="">
                        <v:imagedata r:id="rId9" o:title=""/>
                      </v:shape>
                      <w:control r:id="rId19" w:name="DefaultOcxName7" w:shapeid="_x0000_i1083"/>
                    </w:object>
                  </w:r>
                  <w:r w:rsidRPr="00473BBB">
                    <w:rPr>
                      <w:rFonts w:ascii="新細明體" w:eastAsia="新細明體" w:hAnsi="新細明體" w:cs="新細明體"/>
                      <w:noProof/>
                      <w:color w:val="000000"/>
                      <w:spacing w:val="30"/>
                      <w:kern w:val="0"/>
                      <w:sz w:val="18"/>
                      <w:szCs w:val="18"/>
                    </w:rPr>
                    <w:drawing>
                      <wp:inline distT="0" distB="0" distL="0" distR="0" wp14:anchorId="2D497DCC" wp14:editId="2500FD39">
                        <wp:extent cx="236220" cy="236220"/>
                        <wp:effectExtent l="0" t="0" r="0" b="0"/>
                        <wp:docPr id="8" name="圖片 8" descr="https://moj.elearn.hrd.gov.tw/theme/default/teach/wro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moj.elearn.hrd.gov.tw/theme/default/teach/wrong.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0" w:type="auto"/>
                  <w:shd w:val="clear" w:color="auto" w:fill="FFFFFF"/>
                  <w:vAlign w:val="center"/>
                  <w:hideMark/>
                </w:tcPr>
                <w:p w:rsidR="00473BBB" w:rsidRPr="00473BBB" w:rsidRDefault="00473BBB" w:rsidP="00473BBB">
                  <w:pPr>
                    <w:widowControl/>
                    <w:numPr>
                      <w:ilvl w:val="0"/>
                      <w:numId w:val="3"/>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473BBB" w:rsidRPr="00473BBB">
              <w:trPr>
                <w:tblCellSpacing w:w="6" w:type="dxa"/>
              </w:trPr>
              <w:tc>
                <w:tcPr>
                  <w:tcW w:w="0" w:type="auto"/>
                  <w:shd w:val="clear" w:color="auto" w:fill="ECF1F7"/>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b/>
                      <w:bCs/>
                      <w:color w:val="000000"/>
                      <w:spacing w:val="30"/>
                      <w:kern w:val="0"/>
                      <w:sz w:val="18"/>
                      <w:szCs w:val="18"/>
                    </w:rPr>
                    <w:t>配分：[10.00]</w:t>
                  </w:r>
                </w:p>
              </w:tc>
              <w:tc>
                <w:tcPr>
                  <w:tcW w:w="0" w:type="auto"/>
                  <w:shd w:val="clear" w:color="auto" w:fill="ECF1F7"/>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 </w:t>
                  </w:r>
                </w:p>
              </w:tc>
              <w:tc>
                <w:tcPr>
                  <w:tcW w:w="0" w:type="auto"/>
                  <w:shd w:val="clear" w:color="auto" w:fill="ECF1F7"/>
                  <w:vAlign w:val="center"/>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4. 電影《藍色恐懼》講述偶像女子團體</w:t>
                  </w:r>
                  <w:proofErr w:type="gramStart"/>
                  <w:r w:rsidRPr="00473BBB">
                    <w:rPr>
                      <w:rFonts w:ascii="新細明體" w:eastAsia="新細明體" w:hAnsi="新細明體" w:cs="新細明體"/>
                      <w:color w:val="000000"/>
                      <w:spacing w:val="30"/>
                      <w:kern w:val="0"/>
                      <w:sz w:val="18"/>
                      <w:szCs w:val="18"/>
                    </w:rPr>
                    <w:t>成員未麻從</w:t>
                  </w:r>
                  <w:proofErr w:type="gramEnd"/>
                  <w:r w:rsidRPr="00473BBB">
                    <w:rPr>
                      <w:rFonts w:ascii="新細明體" w:eastAsia="新細明體" w:hAnsi="新細明體" w:cs="新細明體"/>
                      <w:color w:val="000000"/>
                      <w:spacing w:val="30"/>
                      <w:kern w:val="0"/>
                      <w:sz w:val="18"/>
                      <w:szCs w:val="18"/>
                    </w:rPr>
                    <w:t>歌手轉為演員，因遭遇了一連串事件而逐漸陷入混亂，彷彿出現了「另一個自己」。</w:t>
                  </w:r>
                  <w:proofErr w:type="gramStart"/>
                  <w:r w:rsidRPr="00473BBB">
                    <w:rPr>
                      <w:rFonts w:ascii="新細明體" w:eastAsia="新細明體" w:hAnsi="新細明體" w:cs="新細明體"/>
                      <w:color w:val="000000"/>
                      <w:spacing w:val="30"/>
                      <w:kern w:val="0"/>
                      <w:sz w:val="18"/>
                      <w:szCs w:val="18"/>
                    </w:rPr>
                    <w:t>片中夢境</w:t>
                  </w:r>
                  <w:proofErr w:type="gramEnd"/>
                  <w:r w:rsidRPr="00473BBB">
                    <w:rPr>
                      <w:rFonts w:ascii="新細明體" w:eastAsia="新細明體" w:hAnsi="新細明體" w:cs="新細明體"/>
                      <w:color w:val="000000"/>
                      <w:spacing w:val="30"/>
                      <w:kern w:val="0"/>
                      <w:sz w:val="18"/>
                      <w:szCs w:val="18"/>
                    </w:rPr>
                    <w:t>、現實虛實交錯，也隱含了精神健康的議題。</w:t>
                  </w:r>
                </w:p>
                <w:p w:rsidR="00473BBB" w:rsidRPr="00473BBB" w:rsidRDefault="00473BBB" w:rsidP="00473BBB">
                  <w:pPr>
                    <w:widowControl/>
                    <w:numPr>
                      <w:ilvl w:val="0"/>
                      <w:numId w:val="4"/>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82" type="#_x0000_t75" style="width:18pt;height:15.6pt" o:ole="">
                        <v:imagedata r:id="rId9" o:title=""/>
                      </v:shape>
                      <w:control r:id="rId20" w:name="DefaultOcxName8" w:shapeid="_x0000_i1082"/>
                    </w:object>
                  </w:r>
                  <w:r w:rsidRPr="00473BBB">
                    <w:rPr>
                      <w:rFonts w:ascii="新細明體" w:eastAsia="新細明體" w:hAnsi="新細明體" w:cs="新細明體"/>
                      <w:noProof/>
                      <w:color w:val="000000"/>
                      <w:spacing w:val="30"/>
                      <w:kern w:val="0"/>
                      <w:sz w:val="18"/>
                      <w:szCs w:val="18"/>
                    </w:rPr>
                    <w:drawing>
                      <wp:inline distT="0" distB="0" distL="0" distR="0" wp14:anchorId="7CFAF549" wp14:editId="4776BFF7">
                        <wp:extent cx="236220" cy="236220"/>
                        <wp:effectExtent l="0" t="0" r="0" b="0"/>
                        <wp:docPr id="9" name="圖片 9" descr="https://moj.elearn.hrd.gov.tw/theme/default/teach/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moj.elearn.hrd.gov.tw/theme/default/teach/right.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p w:rsidR="00473BBB" w:rsidRPr="00473BBB" w:rsidRDefault="00473BBB" w:rsidP="00473BBB">
                  <w:pPr>
                    <w:widowControl/>
                    <w:numPr>
                      <w:ilvl w:val="0"/>
                      <w:numId w:val="4"/>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81" type="#_x0000_t75" style="width:18pt;height:15.6pt" o:ole="">
                        <v:imagedata r:id="rId13" o:title=""/>
                      </v:shape>
                      <w:control r:id="rId21" w:name="DefaultOcxName9" w:shapeid="_x0000_i1081"/>
                    </w:object>
                  </w:r>
                  <w:r w:rsidRPr="00473BBB">
                    <w:rPr>
                      <w:rFonts w:ascii="新細明體" w:eastAsia="新細明體" w:hAnsi="新細明體" w:cs="新細明體"/>
                      <w:noProof/>
                      <w:color w:val="000000"/>
                      <w:spacing w:val="30"/>
                      <w:kern w:val="0"/>
                      <w:sz w:val="18"/>
                      <w:szCs w:val="18"/>
                    </w:rPr>
                    <w:drawing>
                      <wp:inline distT="0" distB="0" distL="0" distR="0" wp14:anchorId="31C26AD6" wp14:editId="020BC56A">
                        <wp:extent cx="236220" cy="236220"/>
                        <wp:effectExtent l="0" t="0" r="0" b="0"/>
                        <wp:docPr id="10" name="圖片 10" descr="https://moj.elearn.hrd.gov.tw/theme/default/teach/wro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moj.elearn.hrd.gov.tw/theme/default/teach/wrong.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0" w:type="auto"/>
                  <w:shd w:val="clear" w:color="auto" w:fill="ECF1F7"/>
                  <w:vAlign w:val="center"/>
                  <w:hideMark/>
                </w:tcPr>
                <w:p w:rsidR="00473BBB" w:rsidRPr="00473BBB" w:rsidRDefault="00473BBB" w:rsidP="00473BBB">
                  <w:pPr>
                    <w:widowControl/>
                    <w:numPr>
                      <w:ilvl w:val="0"/>
                      <w:numId w:val="4"/>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473BBB" w:rsidRPr="00473BBB">
              <w:trPr>
                <w:tblCellSpacing w:w="6" w:type="dxa"/>
              </w:trPr>
              <w:tc>
                <w:tcPr>
                  <w:tcW w:w="0" w:type="auto"/>
                  <w:shd w:val="clear" w:color="auto" w:fill="FFFFFF"/>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b/>
                      <w:bCs/>
                      <w:color w:val="000000"/>
                      <w:spacing w:val="30"/>
                      <w:kern w:val="0"/>
                      <w:sz w:val="18"/>
                      <w:szCs w:val="18"/>
                    </w:rPr>
                    <w:t>配分：[10.00]</w:t>
                  </w:r>
                </w:p>
              </w:tc>
              <w:tc>
                <w:tcPr>
                  <w:tcW w:w="0" w:type="auto"/>
                  <w:shd w:val="clear" w:color="auto" w:fill="FFFFFF"/>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 </w:t>
                  </w:r>
                </w:p>
              </w:tc>
              <w:tc>
                <w:tcPr>
                  <w:tcW w:w="0" w:type="auto"/>
                  <w:shd w:val="clear" w:color="auto" w:fill="FFFFFF"/>
                  <w:vAlign w:val="center"/>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5.</w:t>
                  </w:r>
                </w:p>
                <w:p w:rsidR="00473BBB" w:rsidRPr="00473BBB" w:rsidRDefault="00473BBB" w:rsidP="00473BBB">
                  <w:pPr>
                    <w:widowControl/>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lastRenderedPageBreak/>
                    <w:t>請問下列敘述是否正確？《公民與政治權利國際公約》、《經濟社會文化權利國際公約》合稱為兩公約，我</w:t>
                  </w:r>
                  <w:proofErr w:type="gramStart"/>
                  <w:r w:rsidRPr="00473BBB">
                    <w:rPr>
                      <w:rFonts w:ascii="新細明體" w:eastAsia="新細明體" w:hAnsi="新細明體" w:cs="新細明體"/>
                      <w:color w:val="000000"/>
                      <w:spacing w:val="30"/>
                      <w:kern w:val="0"/>
                      <w:sz w:val="18"/>
                      <w:szCs w:val="18"/>
                    </w:rPr>
                    <w:t>國藉</w:t>
                  </w:r>
                  <w:proofErr w:type="gramEnd"/>
                  <w:r w:rsidRPr="00473BBB">
                    <w:rPr>
                      <w:rFonts w:ascii="新細明體" w:eastAsia="新細明體" w:hAnsi="新細明體" w:cs="新細明體"/>
                      <w:color w:val="000000"/>
                      <w:spacing w:val="30"/>
                      <w:kern w:val="0"/>
                      <w:sz w:val="18"/>
                      <w:szCs w:val="18"/>
                    </w:rPr>
                    <w:t>由制定《兩公約施行法》將國際公約內國法化，因此即便我國非聯合國會員國，兩公約在我國仍具法效力。</w:t>
                  </w:r>
                </w:p>
                <w:p w:rsidR="00473BBB" w:rsidRPr="00473BBB" w:rsidRDefault="00473BBB" w:rsidP="00473BBB">
                  <w:pPr>
                    <w:widowControl/>
                    <w:numPr>
                      <w:ilvl w:val="0"/>
                      <w:numId w:val="5"/>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80" type="#_x0000_t75" style="width:18pt;height:15.6pt" o:ole="">
                        <v:imagedata r:id="rId9" o:title=""/>
                      </v:shape>
                      <w:control r:id="rId22" w:name="DefaultOcxName10" w:shapeid="_x0000_i1080"/>
                    </w:object>
                  </w:r>
                  <w:r w:rsidRPr="00473BBB">
                    <w:rPr>
                      <w:rFonts w:ascii="新細明體" w:eastAsia="新細明體" w:hAnsi="新細明體" w:cs="新細明體"/>
                      <w:noProof/>
                      <w:color w:val="000000"/>
                      <w:spacing w:val="30"/>
                      <w:kern w:val="0"/>
                      <w:sz w:val="18"/>
                      <w:szCs w:val="18"/>
                    </w:rPr>
                    <w:drawing>
                      <wp:inline distT="0" distB="0" distL="0" distR="0" wp14:anchorId="54662880" wp14:editId="4872EB57">
                        <wp:extent cx="236220" cy="236220"/>
                        <wp:effectExtent l="0" t="0" r="0" b="0"/>
                        <wp:docPr id="11" name="圖片 11" descr="https://moj.elearn.hrd.gov.tw/theme/default/teach/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moj.elearn.hrd.gov.tw/theme/default/teach/right.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p w:rsidR="00473BBB" w:rsidRPr="00473BBB" w:rsidRDefault="00473BBB" w:rsidP="00473BBB">
                  <w:pPr>
                    <w:widowControl/>
                    <w:numPr>
                      <w:ilvl w:val="0"/>
                      <w:numId w:val="5"/>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79" type="#_x0000_t75" style="width:18pt;height:15.6pt" o:ole="">
                        <v:imagedata r:id="rId13" o:title=""/>
                      </v:shape>
                      <w:control r:id="rId23" w:name="DefaultOcxName11" w:shapeid="_x0000_i1079"/>
                    </w:object>
                  </w:r>
                  <w:r w:rsidRPr="00473BBB">
                    <w:rPr>
                      <w:rFonts w:ascii="新細明體" w:eastAsia="新細明體" w:hAnsi="新細明體" w:cs="新細明體"/>
                      <w:noProof/>
                      <w:color w:val="000000"/>
                      <w:spacing w:val="30"/>
                      <w:kern w:val="0"/>
                      <w:sz w:val="18"/>
                      <w:szCs w:val="18"/>
                    </w:rPr>
                    <w:drawing>
                      <wp:inline distT="0" distB="0" distL="0" distR="0" wp14:anchorId="3EEC484E" wp14:editId="7965D131">
                        <wp:extent cx="236220" cy="236220"/>
                        <wp:effectExtent l="0" t="0" r="0" b="0"/>
                        <wp:docPr id="12" name="圖片 12" descr="https://moj.elearn.hrd.gov.tw/theme/default/teach/wro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moj.elearn.hrd.gov.tw/theme/default/teach/wrong.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0" w:type="auto"/>
                  <w:shd w:val="clear" w:color="auto" w:fill="FFFFFF"/>
                  <w:vAlign w:val="center"/>
                  <w:hideMark/>
                </w:tcPr>
                <w:p w:rsidR="00473BBB" w:rsidRPr="00473BBB" w:rsidRDefault="00473BBB" w:rsidP="00473BBB">
                  <w:pPr>
                    <w:widowControl/>
                    <w:numPr>
                      <w:ilvl w:val="0"/>
                      <w:numId w:val="5"/>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473BBB" w:rsidRPr="00473BBB">
              <w:trPr>
                <w:tblCellSpacing w:w="6" w:type="dxa"/>
              </w:trPr>
              <w:tc>
                <w:tcPr>
                  <w:tcW w:w="0" w:type="auto"/>
                  <w:shd w:val="clear" w:color="auto" w:fill="ECF1F7"/>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b/>
                      <w:bCs/>
                      <w:color w:val="000000"/>
                      <w:spacing w:val="30"/>
                      <w:kern w:val="0"/>
                      <w:sz w:val="18"/>
                      <w:szCs w:val="18"/>
                    </w:rPr>
                    <w:t>配分：[10.00]</w:t>
                  </w:r>
                </w:p>
              </w:tc>
              <w:tc>
                <w:tcPr>
                  <w:tcW w:w="0" w:type="auto"/>
                  <w:shd w:val="clear" w:color="auto" w:fill="ECF1F7"/>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 </w:t>
                  </w:r>
                </w:p>
              </w:tc>
              <w:tc>
                <w:tcPr>
                  <w:tcW w:w="0" w:type="auto"/>
                  <w:shd w:val="clear" w:color="auto" w:fill="ECF1F7"/>
                  <w:vAlign w:val="center"/>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6.</w:t>
                  </w:r>
                </w:p>
                <w:p w:rsidR="00473BBB" w:rsidRPr="00473BBB" w:rsidRDefault="00473BBB" w:rsidP="00473BBB">
                  <w:pPr>
                    <w:widowControl/>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1948年所通過之世界人權宣言，提及人人有權享受其康樂所需之生活程度，舉凡衣、食、住、醫藥及必要之社會服務均包括在內，而在《經濟社會文化權利國際公約》亦提出人人享有身體與精神健康的權利。</w:t>
                  </w:r>
                </w:p>
                <w:p w:rsidR="00473BBB" w:rsidRPr="00473BBB" w:rsidRDefault="00473BBB" w:rsidP="00473BBB">
                  <w:pPr>
                    <w:widowControl/>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【提示】《經濟社會文化權利國際公約》第十二條第一項提及，人人有權享受可能達到之最高標準之身體與精神健康。</w:t>
                  </w:r>
                </w:p>
                <w:p w:rsidR="00473BBB" w:rsidRPr="00473BBB" w:rsidRDefault="00473BBB" w:rsidP="00473BBB">
                  <w:pPr>
                    <w:widowControl/>
                    <w:numPr>
                      <w:ilvl w:val="0"/>
                      <w:numId w:val="6"/>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78" type="#_x0000_t75" style="width:18pt;height:15.6pt" o:ole="">
                        <v:imagedata r:id="rId9" o:title=""/>
                      </v:shape>
                      <w:control r:id="rId24" w:name="DefaultOcxName12" w:shapeid="_x0000_i1078"/>
                    </w:object>
                  </w:r>
                  <w:r w:rsidRPr="00473BBB">
                    <w:rPr>
                      <w:rFonts w:ascii="新細明體" w:eastAsia="新細明體" w:hAnsi="新細明體" w:cs="新細明體"/>
                      <w:noProof/>
                      <w:color w:val="000000"/>
                      <w:spacing w:val="30"/>
                      <w:kern w:val="0"/>
                      <w:sz w:val="18"/>
                      <w:szCs w:val="18"/>
                    </w:rPr>
                    <w:drawing>
                      <wp:inline distT="0" distB="0" distL="0" distR="0" wp14:anchorId="256319D6" wp14:editId="3B673CCC">
                        <wp:extent cx="236220" cy="236220"/>
                        <wp:effectExtent l="0" t="0" r="0" b="0"/>
                        <wp:docPr id="13" name="圖片 13" descr="https://moj.elearn.hrd.gov.tw/theme/default/teach/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moj.elearn.hrd.gov.tw/theme/default/teach/right.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p w:rsidR="00473BBB" w:rsidRPr="00473BBB" w:rsidRDefault="00473BBB" w:rsidP="00473BBB">
                  <w:pPr>
                    <w:widowControl/>
                    <w:numPr>
                      <w:ilvl w:val="0"/>
                      <w:numId w:val="6"/>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77" type="#_x0000_t75" style="width:18pt;height:15.6pt" o:ole="">
                        <v:imagedata r:id="rId13" o:title=""/>
                      </v:shape>
                      <w:control r:id="rId25" w:name="DefaultOcxName13" w:shapeid="_x0000_i1077"/>
                    </w:object>
                  </w:r>
                  <w:r w:rsidRPr="00473BBB">
                    <w:rPr>
                      <w:rFonts w:ascii="新細明體" w:eastAsia="新細明體" w:hAnsi="新細明體" w:cs="新細明體"/>
                      <w:noProof/>
                      <w:color w:val="000000"/>
                      <w:spacing w:val="30"/>
                      <w:kern w:val="0"/>
                      <w:sz w:val="18"/>
                      <w:szCs w:val="18"/>
                    </w:rPr>
                    <w:drawing>
                      <wp:inline distT="0" distB="0" distL="0" distR="0" wp14:anchorId="4D3BCC99" wp14:editId="40A95CA5">
                        <wp:extent cx="236220" cy="236220"/>
                        <wp:effectExtent l="0" t="0" r="0" b="0"/>
                        <wp:docPr id="14" name="圖片 14" descr="https://moj.elearn.hrd.gov.tw/theme/default/teach/wro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moj.elearn.hrd.gov.tw/theme/default/teach/wrong.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0" w:type="auto"/>
                  <w:shd w:val="clear" w:color="auto" w:fill="ECF1F7"/>
                  <w:vAlign w:val="center"/>
                  <w:hideMark/>
                </w:tcPr>
                <w:p w:rsidR="00473BBB" w:rsidRPr="00473BBB" w:rsidRDefault="00473BBB" w:rsidP="00473BBB">
                  <w:pPr>
                    <w:widowControl/>
                    <w:numPr>
                      <w:ilvl w:val="0"/>
                      <w:numId w:val="6"/>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473BBB" w:rsidRPr="00473BBB">
              <w:trPr>
                <w:tblCellSpacing w:w="6" w:type="dxa"/>
              </w:trPr>
              <w:tc>
                <w:tcPr>
                  <w:tcW w:w="0" w:type="auto"/>
                  <w:shd w:val="clear" w:color="auto" w:fill="FFFFFF"/>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b/>
                      <w:bCs/>
                      <w:color w:val="000000"/>
                      <w:spacing w:val="30"/>
                      <w:kern w:val="0"/>
                      <w:sz w:val="18"/>
                      <w:szCs w:val="18"/>
                    </w:rPr>
                    <w:t>配分：[10.00]</w:t>
                  </w:r>
                </w:p>
              </w:tc>
              <w:tc>
                <w:tcPr>
                  <w:tcW w:w="0" w:type="auto"/>
                  <w:shd w:val="clear" w:color="auto" w:fill="FFFFFF"/>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 </w:t>
                  </w:r>
                </w:p>
              </w:tc>
              <w:tc>
                <w:tcPr>
                  <w:tcW w:w="0" w:type="auto"/>
                  <w:shd w:val="clear" w:color="auto" w:fill="FFFFFF"/>
                  <w:vAlign w:val="center"/>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7. 《經濟社會文化權利國際公約》第6條及第7條提及對工作權的保障，確認人人有工作之權利，但公約並未明定人人有權享受公平與良好之工作條件。</w:t>
                  </w:r>
                </w:p>
                <w:p w:rsidR="00473BBB" w:rsidRPr="00473BBB" w:rsidRDefault="00473BBB" w:rsidP="00473BBB">
                  <w:pPr>
                    <w:widowControl/>
                    <w:numPr>
                      <w:ilvl w:val="0"/>
                      <w:numId w:val="7"/>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76" type="#_x0000_t75" style="width:18pt;height:15.6pt" o:ole="">
                        <v:imagedata r:id="rId13" o:title=""/>
                      </v:shape>
                      <w:control r:id="rId26" w:name="DefaultOcxName14" w:shapeid="_x0000_i1076"/>
                    </w:object>
                  </w:r>
                  <w:r w:rsidRPr="00473BBB">
                    <w:rPr>
                      <w:rFonts w:ascii="新細明體" w:eastAsia="新細明體" w:hAnsi="新細明體" w:cs="新細明體"/>
                      <w:noProof/>
                      <w:color w:val="000000"/>
                      <w:spacing w:val="30"/>
                      <w:kern w:val="0"/>
                      <w:sz w:val="18"/>
                      <w:szCs w:val="18"/>
                    </w:rPr>
                    <w:drawing>
                      <wp:inline distT="0" distB="0" distL="0" distR="0" wp14:anchorId="4571A9AE" wp14:editId="4ABE2F45">
                        <wp:extent cx="236220" cy="236220"/>
                        <wp:effectExtent l="0" t="0" r="0" b="0"/>
                        <wp:docPr id="15" name="圖片 15" descr="https://moj.elearn.hrd.gov.tw/theme/default/teach/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moj.elearn.hrd.gov.tw/theme/default/teach/right.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p w:rsidR="00473BBB" w:rsidRPr="00473BBB" w:rsidRDefault="00473BBB" w:rsidP="00473BBB">
                  <w:pPr>
                    <w:widowControl/>
                    <w:numPr>
                      <w:ilvl w:val="0"/>
                      <w:numId w:val="7"/>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75" type="#_x0000_t75" style="width:18pt;height:15.6pt" o:ole="">
                        <v:imagedata r:id="rId9" o:title=""/>
                      </v:shape>
                      <w:control r:id="rId27" w:name="DefaultOcxName15" w:shapeid="_x0000_i1075"/>
                    </w:object>
                  </w:r>
                  <w:r w:rsidRPr="00473BBB">
                    <w:rPr>
                      <w:rFonts w:ascii="新細明體" w:eastAsia="新細明體" w:hAnsi="新細明體" w:cs="新細明體"/>
                      <w:noProof/>
                      <w:color w:val="000000"/>
                      <w:spacing w:val="30"/>
                      <w:kern w:val="0"/>
                      <w:sz w:val="18"/>
                      <w:szCs w:val="18"/>
                    </w:rPr>
                    <w:drawing>
                      <wp:inline distT="0" distB="0" distL="0" distR="0" wp14:anchorId="47608304" wp14:editId="4E661ADE">
                        <wp:extent cx="236220" cy="236220"/>
                        <wp:effectExtent l="0" t="0" r="0" b="0"/>
                        <wp:docPr id="16" name="圖片 16" descr="https://moj.elearn.hrd.gov.tw/theme/default/teach/wro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moj.elearn.hrd.gov.tw/theme/default/teach/wrong.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0" w:type="auto"/>
                  <w:shd w:val="clear" w:color="auto" w:fill="FFFFFF"/>
                  <w:vAlign w:val="center"/>
                  <w:hideMark/>
                </w:tcPr>
                <w:p w:rsidR="00473BBB" w:rsidRPr="00473BBB" w:rsidRDefault="00473BBB" w:rsidP="00473BBB">
                  <w:pPr>
                    <w:widowControl/>
                    <w:numPr>
                      <w:ilvl w:val="0"/>
                      <w:numId w:val="7"/>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473BBB" w:rsidRPr="00473BBB">
              <w:trPr>
                <w:tblCellSpacing w:w="6" w:type="dxa"/>
              </w:trPr>
              <w:tc>
                <w:tcPr>
                  <w:tcW w:w="0" w:type="auto"/>
                  <w:shd w:val="clear" w:color="auto" w:fill="ECF1F7"/>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b/>
                      <w:bCs/>
                      <w:color w:val="000000"/>
                      <w:spacing w:val="30"/>
                      <w:kern w:val="0"/>
                      <w:sz w:val="18"/>
                      <w:szCs w:val="18"/>
                    </w:rPr>
                    <w:t>配分：[10.00]</w:t>
                  </w:r>
                </w:p>
              </w:tc>
              <w:tc>
                <w:tcPr>
                  <w:tcW w:w="0" w:type="auto"/>
                  <w:shd w:val="clear" w:color="auto" w:fill="ECF1F7"/>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 </w:t>
                  </w:r>
                </w:p>
              </w:tc>
              <w:tc>
                <w:tcPr>
                  <w:tcW w:w="0" w:type="auto"/>
                  <w:shd w:val="clear" w:color="auto" w:fill="ECF1F7"/>
                  <w:vAlign w:val="center"/>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8. 每個人對於壓力的承受度都不同，除存在先天性的差異外，隨著壓力發生的時間段、年齡層、形式等也會隨之有差異。</w:t>
                  </w:r>
                </w:p>
                <w:p w:rsidR="00473BBB" w:rsidRPr="00473BBB" w:rsidRDefault="00473BBB" w:rsidP="00473BBB">
                  <w:pPr>
                    <w:widowControl/>
                    <w:numPr>
                      <w:ilvl w:val="0"/>
                      <w:numId w:val="8"/>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74" type="#_x0000_t75" style="width:18pt;height:15.6pt" o:ole="">
                        <v:imagedata r:id="rId9" o:title=""/>
                      </v:shape>
                      <w:control r:id="rId28" w:name="DefaultOcxName16" w:shapeid="_x0000_i1074"/>
                    </w:object>
                  </w:r>
                  <w:r w:rsidRPr="00473BBB">
                    <w:rPr>
                      <w:rFonts w:ascii="新細明體" w:eastAsia="新細明體" w:hAnsi="新細明體" w:cs="新細明體"/>
                      <w:noProof/>
                      <w:color w:val="000000"/>
                      <w:spacing w:val="30"/>
                      <w:kern w:val="0"/>
                      <w:sz w:val="18"/>
                      <w:szCs w:val="18"/>
                    </w:rPr>
                    <w:drawing>
                      <wp:inline distT="0" distB="0" distL="0" distR="0" wp14:anchorId="73DE8FB2" wp14:editId="754515C7">
                        <wp:extent cx="236220" cy="236220"/>
                        <wp:effectExtent l="0" t="0" r="0" b="0"/>
                        <wp:docPr id="17" name="圖片 17" descr="https://moj.elearn.hrd.gov.tw/theme/default/teach/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moj.elearn.hrd.gov.tw/theme/default/teach/right.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p w:rsidR="00473BBB" w:rsidRPr="00473BBB" w:rsidRDefault="00473BBB" w:rsidP="00473BBB">
                  <w:pPr>
                    <w:widowControl/>
                    <w:numPr>
                      <w:ilvl w:val="0"/>
                      <w:numId w:val="8"/>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73" type="#_x0000_t75" style="width:18pt;height:15.6pt" o:ole="">
                        <v:imagedata r:id="rId13" o:title=""/>
                      </v:shape>
                      <w:control r:id="rId29" w:name="DefaultOcxName17" w:shapeid="_x0000_i1073"/>
                    </w:object>
                  </w:r>
                  <w:r w:rsidRPr="00473BBB">
                    <w:rPr>
                      <w:rFonts w:ascii="新細明體" w:eastAsia="新細明體" w:hAnsi="新細明體" w:cs="新細明體"/>
                      <w:noProof/>
                      <w:color w:val="000000"/>
                      <w:spacing w:val="30"/>
                      <w:kern w:val="0"/>
                      <w:sz w:val="18"/>
                      <w:szCs w:val="18"/>
                    </w:rPr>
                    <w:drawing>
                      <wp:inline distT="0" distB="0" distL="0" distR="0" wp14:anchorId="53E176E1" wp14:editId="6BF520A1">
                        <wp:extent cx="236220" cy="236220"/>
                        <wp:effectExtent l="0" t="0" r="0" b="0"/>
                        <wp:docPr id="18" name="圖片 18" descr="https://moj.elearn.hrd.gov.tw/theme/default/teach/wro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moj.elearn.hrd.gov.tw/theme/default/teach/wrong.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0" w:type="auto"/>
                  <w:shd w:val="clear" w:color="auto" w:fill="ECF1F7"/>
                  <w:vAlign w:val="center"/>
                  <w:hideMark/>
                </w:tcPr>
                <w:p w:rsidR="00473BBB" w:rsidRPr="00473BBB" w:rsidRDefault="00473BBB" w:rsidP="00473BBB">
                  <w:pPr>
                    <w:widowControl/>
                    <w:numPr>
                      <w:ilvl w:val="0"/>
                      <w:numId w:val="8"/>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473BBB" w:rsidRPr="00473BBB">
              <w:trPr>
                <w:tblCellSpacing w:w="6" w:type="dxa"/>
              </w:trPr>
              <w:tc>
                <w:tcPr>
                  <w:tcW w:w="0" w:type="auto"/>
                  <w:shd w:val="clear" w:color="auto" w:fill="FFFFFF"/>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b/>
                      <w:bCs/>
                      <w:color w:val="000000"/>
                      <w:spacing w:val="30"/>
                      <w:kern w:val="0"/>
                      <w:sz w:val="18"/>
                      <w:szCs w:val="18"/>
                    </w:rPr>
                    <w:t>配分：[10.00]</w:t>
                  </w:r>
                </w:p>
              </w:tc>
              <w:tc>
                <w:tcPr>
                  <w:tcW w:w="0" w:type="auto"/>
                  <w:shd w:val="clear" w:color="auto" w:fill="FFFFFF"/>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 </w:t>
                  </w:r>
                </w:p>
              </w:tc>
              <w:tc>
                <w:tcPr>
                  <w:tcW w:w="0" w:type="auto"/>
                  <w:shd w:val="clear" w:color="auto" w:fill="FFFFFF"/>
                  <w:vAlign w:val="center"/>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9. 《經濟社會文化權利國際公約》第18號一般性意見，除提及公約第6條規定的工作必須是體面的工作外，也包括尊重工作者在從事就業時的身體和心理健康。</w:t>
                  </w:r>
                </w:p>
                <w:p w:rsidR="00473BBB" w:rsidRPr="00473BBB" w:rsidRDefault="00473BBB" w:rsidP="00473BBB">
                  <w:pPr>
                    <w:widowControl/>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提示】《經濟社會文化權利國際公約》第18號一般性意見第7點指出，《公約》第六條規定的工作必須是體面的工作。這種工作尊重人的基本人權以及工作者在工作安全和報酬條件方面的權利。它所提供的收入能夠使工作者按照《公約》第七條強調的那樣，養活自己和家庭。這些基本權利還包括尊重工作者在從事就業時的身體和心理健康。</w:t>
                  </w:r>
                </w:p>
                <w:p w:rsidR="00473BBB" w:rsidRPr="00473BBB" w:rsidRDefault="00473BBB" w:rsidP="00473BBB">
                  <w:pPr>
                    <w:widowControl/>
                    <w:numPr>
                      <w:ilvl w:val="0"/>
                      <w:numId w:val="9"/>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72" type="#_x0000_t75" style="width:18pt;height:15.6pt" o:ole="">
                        <v:imagedata r:id="rId9" o:title=""/>
                      </v:shape>
                      <w:control r:id="rId30" w:name="DefaultOcxName18" w:shapeid="_x0000_i1072"/>
                    </w:object>
                  </w:r>
                  <w:r w:rsidRPr="00473BBB">
                    <w:rPr>
                      <w:rFonts w:ascii="新細明體" w:eastAsia="新細明體" w:hAnsi="新細明體" w:cs="新細明體"/>
                      <w:noProof/>
                      <w:color w:val="000000"/>
                      <w:spacing w:val="30"/>
                      <w:kern w:val="0"/>
                      <w:sz w:val="18"/>
                      <w:szCs w:val="18"/>
                    </w:rPr>
                    <w:drawing>
                      <wp:inline distT="0" distB="0" distL="0" distR="0" wp14:anchorId="4285C699" wp14:editId="02120EB8">
                        <wp:extent cx="236220" cy="236220"/>
                        <wp:effectExtent l="0" t="0" r="0" b="0"/>
                        <wp:docPr id="19" name="圖片 19" descr="https://moj.elearn.hrd.gov.tw/theme/default/teach/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moj.elearn.hrd.gov.tw/theme/default/teach/right.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p w:rsidR="00473BBB" w:rsidRPr="00473BBB" w:rsidRDefault="00473BBB" w:rsidP="00473BBB">
                  <w:pPr>
                    <w:widowControl/>
                    <w:numPr>
                      <w:ilvl w:val="0"/>
                      <w:numId w:val="9"/>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lastRenderedPageBreak/>
                    <w:object w:dxaOrig="1440" w:dyaOrig="1440">
                      <v:shape id="_x0000_i1071" type="#_x0000_t75" style="width:18pt;height:15.6pt" o:ole="">
                        <v:imagedata r:id="rId13" o:title=""/>
                      </v:shape>
                      <w:control r:id="rId31" w:name="DefaultOcxName19" w:shapeid="_x0000_i1071"/>
                    </w:object>
                  </w:r>
                  <w:r w:rsidRPr="00473BBB">
                    <w:rPr>
                      <w:rFonts w:ascii="新細明體" w:eastAsia="新細明體" w:hAnsi="新細明體" w:cs="新細明體"/>
                      <w:noProof/>
                      <w:color w:val="000000"/>
                      <w:spacing w:val="30"/>
                      <w:kern w:val="0"/>
                      <w:sz w:val="18"/>
                      <w:szCs w:val="18"/>
                    </w:rPr>
                    <w:drawing>
                      <wp:inline distT="0" distB="0" distL="0" distR="0" wp14:anchorId="7C673E3A" wp14:editId="5082246A">
                        <wp:extent cx="236220" cy="236220"/>
                        <wp:effectExtent l="0" t="0" r="0" b="0"/>
                        <wp:docPr id="20" name="圖片 20" descr="https://moj.elearn.hrd.gov.tw/theme/default/teach/wro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moj.elearn.hrd.gov.tw/theme/default/teach/wrong.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0" w:type="auto"/>
                  <w:shd w:val="clear" w:color="auto" w:fill="FFFFFF"/>
                  <w:vAlign w:val="center"/>
                  <w:hideMark/>
                </w:tcPr>
                <w:p w:rsidR="00473BBB" w:rsidRPr="00473BBB" w:rsidRDefault="00473BBB" w:rsidP="00473BBB">
                  <w:pPr>
                    <w:widowControl/>
                    <w:numPr>
                      <w:ilvl w:val="0"/>
                      <w:numId w:val="9"/>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473BBB" w:rsidRPr="00473BBB">
              <w:trPr>
                <w:tblCellSpacing w:w="6" w:type="dxa"/>
              </w:trPr>
              <w:tc>
                <w:tcPr>
                  <w:tcW w:w="0" w:type="auto"/>
                  <w:shd w:val="clear" w:color="auto" w:fill="ECF1F7"/>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b/>
                      <w:bCs/>
                      <w:color w:val="000000"/>
                      <w:spacing w:val="30"/>
                      <w:kern w:val="0"/>
                      <w:sz w:val="18"/>
                      <w:szCs w:val="18"/>
                    </w:rPr>
                    <w:t>配分：[10.00]</w:t>
                  </w:r>
                </w:p>
              </w:tc>
              <w:tc>
                <w:tcPr>
                  <w:tcW w:w="0" w:type="auto"/>
                  <w:shd w:val="clear" w:color="auto" w:fill="ECF1F7"/>
                  <w:noWrap/>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 </w:t>
                  </w:r>
                </w:p>
              </w:tc>
              <w:tc>
                <w:tcPr>
                  <w:tcW w:w="0" w:type="auto"/>
                  <w:shd w:val="clear" w:color="auto" w:fill="ECF1F7"/>
                  <w:vAlign w:val="center"/>
                  <w:hideMark/>
                </w:tcPr>
                <w:p w:rsidR="00473BBB" w:rsidRPr="00473BBB" w:rsidRDefault="00473BBB" w:rsidP="00473BBB">
                  <w:pPr>
                    <w:widowControl/>
                    <w:spacing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10.</w:t>
                  </w:r>
                </w:p>
                <w:p w:rsidR="00473BBB" w:rsidRPr="00473BBB" w:rsidRDefault="00473BBB" w:rsidP="00473BBB">
                  <w:pPr>
                    <w:widowControl/>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2022年5月舉辦兩公約第三次國家報告國際審查會議，國際審查委員共提出92點結論性意見與建議，該意見與建議係對我國兩公約落實推動之情形所提出之觀察。</w:t>
                  </w:r>
                </w:p>
                <w:p w:rsidR="00473BBB" w:rsidRPr="00473BBB" w:rsidRDefault="00473BBB" w:rsidP="00473BBB">
                  <w:pPr>
                    <w:widowControl/>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t>【提示】兩公約第三次國家報告國際審查會議業於2022年5月舉辦，國際審查委員經審查相關資料，並與政府機關代表、民間團體對話後，於同年月13日公開發表92點結論性意見與建議，針對兩公約所保障權利於我國落實推動之情形提出觀察，並從政策、法令及執行等不同面向提出建議。</w:t>
                  </w:r>
                </w:p>
                <w:p w:rsidR="00473BBB" w:rsidRPr="00473BBB" w:rsidRDefault="00473BBB" w:rsidP="00473BBB">
                  <w:pPr>
                    <w:widowControl/>
                    <w:numPr>
                      <w:ilvl w:val="0"/>
                      <w:numId w:val="10"/>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70" type="#_x0000_t75" style="width:18pt;height:15.6pt" o:ole="">
                        <v:imagedata r:id="rId9" o:title=""/>
                      </v:shape>
                      <w:control r:id="rId32" w:name="DefaultOcxName20" w:shapeid="_x0000_i1070"/>
                    </w:object>
                  </w:r>
                  <w:r w:rsidRPr="00473BBB">
                    <w:rPr>
                      <w:rFonts w:ascii="新細明體" w:eastAsia="新細明體" w:hAnsi="新細明體" w:cs="新細明體"/>
                      <w:noProof/>
                      <w:color w:val="000000"/>
                      <w:spacing w:val="30"/>
                      <w:kern w:val="0"/>
                      <w:sz w:val="18"/>
                      <w:szCs w:val="18"/>
                    </w:rPr>
                    <w:drawing>
                      <wp:inline distT="0" distB="0" distL="0" distR="0" wp14:anchorId="4F488A74" wp14:editId="30D5CEB4">
                        <wp:extent cx="236220" cy="236220"/>
                        <wp:effectExtent l="0" t="0" r="0" b="0"/>
                        <wp:docPr id="21" name="圖片 21" descr="https://moj.elearn.hrd.gov.tw/theme/default/teach/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moj.elearn.hrd.gov.tw/theme/default/teach/right.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p w:rsidR="00473BBB" w:rsidRPr="00473BBB" w:rsidRDefault="00473BBB" w:rsidP="00473BBB">
                  <w:pPr>
                    <w:widowControl/>
                    <w:numPr>
                      <w:ilvl w:val="0"/>
                      <w:numId w:val="10"/>
                    </w:numPr>
                    <w:spacing w:before="100" w:beforeAutospacing="1" w:after="100" w:afterAutospacing="1" w:line="240" w:lineRule="atLeast"/>
                    <w:rPr>
                      <w:rFonts w:ascii="新細明體" w:eastAsia="新細明體" w:hAnsi="新細明體" w:cs="新細明體"/>
                      <w:color w:val="000000"/>
                      <w:spacing w:val="30"/>
                      <w:kern w:val="0"/>
                      <w:sz w:val="18"/>
                      <w:szCs w:val="18"/>
                    </w:rPr>
                  </w:pPr>
                  <w:r w:rsidRPr="00473BBB">
                    <w:rPr>
                      <w:rFonts w:ascii="新細明體" w:eastAsia="新細明體" w:hAnsi="新細明體" w:cs="新細明體"/>
                      <w:color w:val="000000"/>
                      <w:spacing w:val="30"/>
                      <w:kern w:val="0"/>
                      <w:sz w:val="18"/>
                      <w:szCs w:val="18"/>
                    </w:rPr>
                    <w:object w:dxaOrig="1440" w:dyaOrig="1440">
                      <v:shape id="_x0000_i1069" type="#_x0000_t75" style="width:18pt;height:15.6pt" o:ole="">
                        <v:imagedata r:id="rId13" o:title=""/>
                      </v:shape>
                      <w:control r:id="rId33" w:name="DefaultOcxName21" w:shapeid="_x0000_i1069"/>
                    </w:object>
                  </w:r>
                  <w:r w:rsidRPr="00473BBB">
                    <w:rPr>
                      <w:rFonts w:ascii="新細明體" w:eastAsia="新細明體" w:hAnsi="新細明體" w:cs="新細明體"/>
                      <w:noProof/>
                      <w:color w:val="000000"/>
                      <w:spacing w:val="30"/>
                      <w:kern w:val="0"/>
                      <w:sz w:val="18"/>
                      <w:szCs w:val="18"/>
                    </w:rPr>
                    <w:drawing>
                      <wp:inline distT="0" distB="0" distL="0" distR="0" wp14:anchorId="3658D143" wp14:editId="7D0D538B">
                        <wp:extent cx="236220" cy="236220"/>
                        <wp:effectExtent l="0" t="0" r="0" b="0"/>
                        <wp:docPr id="22" name="圖片 22" descr="https://moj.elearn.hrd.gov.tw/theme/default/teach/wro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moj.elearn.hrd.gov.tw/theme/default/teach/wrong.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p>
              </w:tc>
              <w:tc>
                <w:tcPr>
                  <w:tcW w:w="0" w:type="auto"/>
                  <w:shd w:val="clear" w:color="auto" w:fill="ECF1F7"/>
                  <w:vAlign w:val="center"/>
                  <w:hideMark/>
                </w:tcPr>
                <w:p w:rsidR="00473BBB" w:rsidRPr="00473BBB" w:rsidRDefault="00473BBB" w:rsidP="00473BBB">
                  <w:pPr>
                    <w:widowControl/>
                    <w:numPr>
                      <w:ilvl w:val="0"/>
                      <w:numId w:val="10"/>
                    </w:numPr>
                    <w:spacing w:before="100" w:beforeAutospacing="1" w:after="100" w:afterAutospacing="1" w:line="240" w:lineRule="atLeast"/>
                    <w:rPr>
                      <w:rFonts w:ascii="新細明體" w:eastAsia="新細明體" w:hAnsi="新細明體" w:cs="新細明體"/>
                      <w:color w:val="000000"/>
                      <w:spacing w:val="30"/>
                      <w:kern w:val="0"/>
                      <w:sz w:val="18"/>
                      <w:szCs w:val="18"/>
                    </w:rPr>
                  </w:pPr>
                </w:p>
              </w:tc>
            </w:tr>
            <w:tr w:rsidR="00473BBB" w:rsidRPr="00473BBB">
              <w:trPr>
                <w:tblCellSpacing w:w="6" w:type="dxa"/>
              </w:trPr>
              <w:tc>
                <w:tcPr>
                  <w:tcW w:w="0" w:type="auto"/>
                  <w:gridSpan w:val="4"/>
                  <w:shd w:val="clear" w:color="auto" w:fill="DDDDDD"/>
                  <w:vAlign w:val="center"/>
                  <w:hideMark/>
                </w:tcPr>
                <w:p w:rsidR="00473BBB" w:rsidRPr="00473BBB" w:rsidRDefault="00473BBB" w:rsidP="00473BBB">
                  <w:pPr>
                    <w:widowControl/>
                    <w:spacing w:line="240" w:lineRule="atLeast"/>
                    <w:rPr>
                      <w:rFonts w:ascii="Times New Roman" w:eastAsia="Times New Roman" w:hAnsi="Times New Roman" w:cs="Times New Roman"/>
                      <w:kern w:val="0"/>
                      <w:sz w:val="20"/>
                      <w:szCs w:val="20"/>
                    </w:rPr>
                  </w:pPr>
                </w:p>
              </w:tc>
            </w:tr>
          </w:tbl>
          <w:p w:rsidR="00473BBB" w:rsidRPr="00473BBB" w:rsidRDefault="00473BBB" w:rsidP="00473BBB">
            <w:pPr>
              <w:widowControl/>
              <w:pBdr>
                <w:top w:val="single" w:sz="6" w:space="1" w:color="auto"/>
              </w:pBdr>
              <w:jc w:val="center"/>
              <w:rPr>
                <w:rFonts w:ascii="Arial" w:eastAsia="新細明體" w:hAnsi="Arial" w:cs="Arial" w:hint="eastAsia"/>
                <w:vanish/>
                <w:kern w:val="0"/>
                <w:sz w:val="16"/>
                <w:szCs w:val="16"/>
              </w:rPr>
            </w:pPr>
            <w:r w:rsidRPr="00473BBB">
              <w:rPr>
                <w:rFonts w:ascii="Arial" w:eastAsia="新細明體" w:hAnsi="Arial" w:cs="Arial" w:hint="eastAsia"/>
                <w:vanish/>
                <w:kern w:val="0"/>
                <w:sz w:val="16"/>
                <w:szCs w:val="16"/>
              </w:rPr>
              <w:t>表單的底部</w:t>
            </w:r>
          </w:p>
          <w:p w:rsidR="00473BBB" w:rsidRPr="00473BBB" w:rsidRDefault="00473BBB" w:rsidP="00473BBB">
            <w:pPr>
              <w:widowControl/>
              <w:rPr>
                <w:rFonts w:ascii="Times New Roman" w:eastAsia="新細明體" w:hAnsi="Times New Roman" w:cs="Times New Roman"/>
                <w:kern w:val="0"/>
                <w:szCs w:val="24"/>
              </w:rPr>
            </w:pPr>
          </w:p>
        </w:tc>
      </w:tr>
    </w:tbl>
    <w:p w:rsidR="0071417F" w:rsidRDefault="0071417F">
      <w:bookmarkStart w:id="0" w:name="_GoBack"/>
      <w:bookmarkEnd w:id="0"/>
    </w:p>
    <w:sectPr w:rsidR="0071417F" w:rsidSect="00473BBB">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543E7"/>
    <w:multiLevelType w:val="multilevel"/>
    <w:tmpl w:val="9514CD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29C055E0"/>
    <w:multiLevelType w:val="multilevel"/>
    <w:tmpl w:val="762E55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30E5C9F"/>
    <w:multiLevelType w:val="multilevel"/>
    <w:tmpl w:val="1F401A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365E63B2"/>
    <w:multiLevelType w:val="multilevel"/>
    <w:tmpl w:val="BA2259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4E067DFF"/>
    <w:multiLevelType w:val="multilevel"/>
    <w:tmpl w:val="E092DA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516B3054"/>
    <w:multiLevelType w:val="multilevel"/>
    <w:tmpl w:val="8A6601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56595810"/>
    <w:multiLevelType w:val="multilevel"/>
    <w:tmpl w:val="46C2EB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743E4AC0"/>
    <w:multiLevelType w:val="multilevel"/>
    <w:tmpl w:val="EBA81F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77467BEF"/>
    <w:multiLevelType w:val="multilevel"/>
    <w:tmpl w:val="CB96B9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7FEB3A9F"/>
    <w:multiLevelType w:val="multilevel"/>
    <w:tmpl w:val="2F7E3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9"/>
  </w:num>
  <w:num w:numId="3">
    <w:abstractNumId w:val="4"/>
  </w:num>
  <w:num w:numId="4">
    <w:abstractNumId w:val="6"/>
  </w:num>
  <w:num w:numId="5">
    <w:abstractNumId w:val="0"/>
  </w:num>
  <w:num w:numId="6">
    <w:abstractNumId w:val="7"/>
  </w:num>
  <w:num w:numId="7">
    <w:abstractNumId w:val="1"/>
  </w:num>
  <w:num w:numId="8">
    <w:abstractNumId w:val="3"/>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BBB"/>
    <w:rsid w:val="00473BBB"/>
    <w:rsid w:val="007141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14CE8C-3A17-4D8D-A821-7734C7104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400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control" Target="activeX/activeX7.xml"/><Relationship Id="rId26" Type="http://schemas.openxmlformats.org/officeDocument/2006/relationships/control" Target="activeX/activeX15.xml"/><Relationship Id="rId3" Type="http://schemas.openxmlformats.org/officeDocument/2006/relationships/settings" Target="settings.xml"/><Relationship Id="rId21" Type="http://schemas.openxmlformats.org/officeDocument/2006/relationships/control" Target="activeX/activeX10.xml"/><Relationship Id="rId34" Type="http://schemas.openxmlformats.org/officeDocument/2006/relationships/fontTable" Target="fontTable.xml"/><Relationship Id="rId7" Type="http://schemas.openxmlformats.org/officeDocument/2006/relationships/image" Target="media/image2.gif"/><Relationship Id="rId12" Type="http://schemas.openxmlformats.org/officeDocument/2006/relationships/image" Target="media/image5.gif"/><Relationship Id="rId17" Type="http://schemas.openxmlformats.org/officeDocument/2006/relationships/control" Target="activeX/activeX6.xml"/><Relationship Id="rId25" Type="http://schemas.openxmlformats.org/officeDocument/2006/relationships/control" Target="activeX/activeX14.xml"/><Relationship Id="rId33" Type="http://schemas.openxmlformats.org/officeDocument/2006/relationships/control" Target="activeX/activeX22.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control" Target="activeX/activeX9.xml"/><Relationship Id="rId29" Type="http://schemas.openxmlformats.org/officeDocument/2006/relationships/control" Target="activeX/activeX18.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3.xml"/><Relationship Id="rId24" Type="http://schemas.openxmlformats.org/officeDocument/2006/relationships/control" Target="activeX/activeX13.xml"/><Relationship Id="rId32" Type="http://schemas.openxmlformats.org/officeDocument/2006/relationships/control" Target="activeX/activeX21.xml"/><Relationship Id="rId5" Type="http://schemas.openxmlformats.org/officeDocument/2006/relationships/image" Target="media/image1.wmf"/><Relationship Id="rId15" Type="http://schemas.openxmlformats.org/officeDocument/2006/relationships/image" Target="media/image7.gif"/><Relationship Id="rId23" Type="http://schemas.openxmlformats.org/officeDocument/2006/relationships/control" Target="activeX/activeX12.xml"/><Relationship Id="rId28" Type="http://schemas.openxmlformats.org/officeDocument/2006/relationships/control" Target="activeX/activeX17.xml"/><Relationship Id="rId10" Type="http://schemas.openxmlformats.org/officeDocument/2006/relationships/control" Target="activeX/activeX2.xml"/><Relationship Id="rId19" Type="http://schemas.openxmlformats.org/officeDocument/2006/relationships/control" Target="activeX/activeX8.xml"/><Relationship Id="rId31" Type="http://schemas.openxmlformats.org/officeDocument/2006/relationships/control" Target="activeX/activeX20.xml"/><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control" Target="activeX/activeX4.xml"/><Relationship Id="rId22" Type="http://schemas.openxmlformats.org/officeDocument/2006/relationships/control" Target="activeX/activeX11.xml"/><Relationship Id="rId27" Type="http://schemas.openxmlformats.org/officeDocument/2006/relationships/control" Target="activeX/activeX16.xml"/><Relationship Id="rId30" Type="http://schemas.openxmlformats.org/officeDocument/2006/relationships/control" Target="activeX/activeX19.xml"/><Relationship Id="rId35" Type="http://schemas.openxmlformats.org/officeDocument/2006/relationships/theme" Target="theme/theme1.xml"/><Relationship Id="rId8" Type="http://schemas.openxmlformats.org/officeDocument/2006/relationships/image" Target="media/image3.gi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344</Words>
  <Characters>1963</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2024-01-23T11:59:00Z</dcterms:created>
  <dcterms:modified xsi:type="dcterms:W3CDTF">2024-01-23T12:00:00Z</dcterms:modified>
</cp:coreProperties>
</file>